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40" w:rsidRDefault="008F1140" w:rsidP="00BB4A9E">
      <w:pPr>
        <w:jc w:val="right"/>
      </w:pPr>
      <w:bookmarkStart w:id="0" w:name="_GoBack"/>
      <w:bookmarkEnd w:id="0"/>
      <w:r>
        <w:t xml:space="preserve">Office of the </w:t>
      </w:r>
      <w:bookmarkStart w:id="1" w:name="bkmMinPort01"/>
      <w:r w:rsidR="00D96320">
        <w:t>Minister for Disability Issues</w:t>
      </w:r>
      <w:bookmarkEnd w:id="1"/>
    </w:p>
    <w:p w:rsidR="008F1140" w:rsidRDefault="008F1140"/>
    <w:p w:rsidR="008F1140" w:rsidRDefault="008F1140"/>
    <w:p w:rsidR="008F1140" w:rsidRDefault="008F1140">
      <w:r>
        <w:t>Chair</w:t>
      </w:r>
    </w:p>
    <w:p w:rsidR="008F1140" w:rsidRDefault="008F1140">
      <w:r>
        <w:t xml:space="preserve">Cabinet </w:t>
      </w:r>
      <w:bookmarkStart w:id="2" w:name="bkmCommittee"/>
      <w:r w:rsidR="00D96320">
        <w:t>Social Policy</w:t>
      </w:r>
      <w:bookmarkEnd w:id="2"/>
      <w:r>
        <w:t xml:space="preserve"> Committee</w:t>
      </w:r>
    </w:p>
    <w:p w:rsidR="00F67F84" w:rsidRPr="000A6DE3" w:rsidRDefault="00D96320" w:rsidP="000A6DE3">
      <w:pPr>
        <w:pStyle w:val="Header"/>
        <w:jc w:val="left"/>
        <w:rPr>
          <w:color w:val="FF0000"/>
        </w:rPr>
      </w:pPr>
      <w:bookmarkStart w:id="3" w:name="bkmSubject"/>
      <w:r>
        <w:t>Promotion and maintenance of New Zealand Sign Language</w:t>
      </w:r>
      <w:bookmarkEnd w:id="3"/>
    </w:p>
    <w:p w:rsidR="00005729" w:rsidRDefault="00005729" w:rsidP="00005729">
      <w:pPr>
        <w:pStyle w:val="Heading1"/>
      </w:pPr>
      <w:r>
        <w:t>Proposal</w:t>
      </w:r>
    </w:p>
    <w:p w:rsidR="001353A5" w:rsidRDefault="00D72D87" w:rsidP="001353A5">
      <w:pPr>
        <w:pStyle w:val="BodyText"/>
      </w:pPr>
      <w:bookmarkStart w:id="4" w:name="bkmCursorStart"/>
      <w:bookmarkEnd w:id="4"/>
      <w:r>
        <w:t>This paper proposes the establishment o</w:t>
      </w:r>
      <w:r w:rsidR="006F6A04">
        <w:t>f an advisory board</w:t>
      </w:r>
      <w:r w:rsidR="00506648">
        <w:t xml:space="preserve"> and a fund</w:t>
      </w:r>
      <w:r w:rsidR="006F6A04">
        <w:t xml:space="preserve"> to promote</w:t>
      </w:r>
      <w:r>
        <w:t xml:space="preserve"> and maintain New Zealand Sign Language (NZSL), progress priorities</w:t>
      </w:r>
      <w:r w:rsidR="002033BC">
        <w:t xml:space="preserve"> for the language</w:t>
      </w:r>
      <w:r>
        <w:t xml:space="preserve"> and support </w:t>
      </w:r>
      <w:r w:rsidR="00ED1820">
        <w:t>NZSL</w:t>
      </w:r>
      <w:r>
        <w:t xml:space="preserve"> initiatives, so that deaf people can participate fully in New Zealand society. </w:t>
      </w:r>
    </w:p>
    <w:p w:rsidR="008F1140" w:rsidRPr="001353A5" w:rsidRDefault="005A34FE" w:rsidP="004E3C65">
      <w:pPr>
        <w:pStyle w:val="Heading1"/>
      </w:pPr>
      <w:r w:rsidRPr="001353A5">
        <w:t>Executive s</w:t>
      </w:r>
      <w:r w:rsidR="008F1140" w:rsidRPr="001353A5">
        <w:t>ummary</w:t>
      </w:r>
    </w:p>
    <w:p w:rsidR="00D72D87" w:rsidRDefault="00D72D87" w:rsidP="00D72D87">
      <w:pPr>
        <w:pStyle w:val="BodyText"/>
      </w:pPr>
      <w:r>
        <w:t>The Human Rights Commission conducted an inquiry into NZSL from July 2012 to June 2013. The inquiry report</w:t>
      </w:r>
      <w:r w:rsidR="00AB3244">
        <w:t xml:space="preserve"> </w:t>
      </w:r>
      <w:r w:rsidR="00AB3244" w:rsidRPr="00325775">
        <w:rPr>
          <w:i/>
        </w:rPr>
        <w:t xml:space="preserve">‘A new </w:t>
      </w:r>
      <w:r w:rsidR="008F43DA" w:rsidRPr="00325775">
        <w:rPr>
          <w:i/>
        </w:rPr>
        <w:t>era</w:t>
      </w:r>
      <w:r w:rsidR="00AB3244" w:rsidRPr="00325775">
        <w:rPr>
          <w:i/>
        </w:rPr>
        <w:t xml:space="preserve"> in the </w:t>
      </w:r>
      <w:r w:rsidR="008F43DA" w:rsidRPr="00325775">
        <w:rPr>
          <w:i/>
        </w:rPr>
        <w:t>right</w:t>
      </w:r>
      <w:r w:rsidR="00AB3244" w:rsidRPr="00325775">
        <w:rPr>
          <w:i/>
        </w:rPr>
        <w:t xml:space="preserve"> to sign’</w:t>
      </w:r>
      <w:r>
        <w:t xml:space="preserve"> identified that NZSL is </w:t>
      </w:r>
      <w:r w:rsidR="00ED1820">
        <w:t>crucial</w:t>
      </w:r>
      <w:r>
        <w:t xml:space="preserve"> to </w:t>
      </w:r>
      <w:r w:rsidR="00863DA8">
        <w:t>the ability of deaf people</w:t>
      </w:r>
      <w:r>
        <w:t xml:space="preserve"> to learn, communicate and participate in society. However, </w:t>
      </w:r>
      <w:r w:rsidR="00325775">
        <w:t xml:space="preserve">many </w:t>
      </w:r>
      <w:r>
        <w:t>deaf</w:t>
      </w:r>
      <w:r w:rsidR="005363C9">
        <w:t xml:space="preserve"> people experience barriers in learning and</w:t>
      </w:r>
      <w:r w:rsidR="00325775">
        <w:t xml:space="preserve"> using NZSL</w:t>
      </w:r>
      <w:r>
        <w:t xml:space="preserve"> that impact on their quality of life and full enjoyment of fundamental human rights.</w:t>
      </w:r>
    </w:p>
    <w:p w:rsidR="00506648" w:rsidRDefault="00D72D87" w:rsidP="00785D6A">
      <w:pPr>
        <w:pStyle w:val="BodyText"/>
      </w:pPr>
      <w:r>
        <w:t>In response to the Human Rights Commission inquiry</w:t>
      </w:r>
      <w:r w:rsidR="003B0777">
        <w:t>,</w:t>
      </w:r>
      <w:r>
        <w:t xml:space="preserve"> the Office for Disability Issues established a NZSL expert advisory group </w:t>
      </w:r>
      <w:r w:rsidR="005C66DB">
        <w:t xml:space="preserve">to provide advice on </w:t>
      </w:r>
      <w:r>
        <w:t>promoting and maintaining NZSL</w:t>
      </w:r>
      <w:r w:rsidR="005C66DB">
        <w:t xml:space="preserve"> in the long</w:t>
      </w:r>
      <w:r w:rsidR="00325775">
        <w:t>er</w:t>
      </w:r>
      <w:r w:rsidR="005C66DB">
        <w:t xml:space="preserve"> term</w:t>
      </w:r>
      <w:r>
        <w:t xml:space="preserve">. </w:t>
      </w:r>
    </w:p>
    <w:p w:rsidR="00506648" w:rsidRDefault="00506648" w:rsidP="00785D6A">
      <w:pPr>
        <w:pStyle w:val="BodyText"/>
      </w:pPr>
      <w:r>
        <w:t xml:space="preserve">Promotion and maintenance refers to the acquisition, status and documentation of, and attitudes and access to, NZSL as core components necessary for the vitality and health of NZSL. </w:t>
      </w:r>
    </w:p>
    <w:p w:rsidR="00D72D87" w:rsidRDefault="00D72D87" w:rsidP="00785D6A">
      <w:pPr>
        <w:pStyle w:val="BodyText"/>
      </w:pPr>
      <w:r>
        <w:t xml:space="preserve">The expert advisory group has made three recommendations: </w:t>
      </w:r>
    </w:p>
    <w:p w:rsidR="00AB3244" w:rsidRDefault="00D72D87" w:rsidP="00AB3244">
      <w:pPr>
        <w:pStyle w:val="BodyText"/>
        <w:numPr>
          <w:ilvl w:val="0"/>
          <w:numId w:val="15"/>
        </w:numPr>
      </w:pPr>
      <w:r>
        <w:t>establish a</w:t>
      </w:r>
      <w:r w:rsidR="006F6A04">
        <w:t>n</w:t>
      </w:r>
      <w:r>
        <w:t xml:space="preserve"> advisory board that </w:t>
      </w:r>
      <w:r w:rsidR="000A6DE3">
        <w:t>would</w:t>
      </w:r>
      <w:r>
        <w:t xml:space="preserve"> be responsible for</w:t>
      </w:r>
      <w:r w:rsidR="003B0777">
        <w:t>,</w:t>
      </w:r>
      <w:r>
        <w:t xml:space="preserve"> </w:t>
      </w:r>
      <w:r w:rsidR="00325775">
        <w:t>and advise on</w:t>
      </w:r>
      <w:r w:rsidR="003B0777">
        <w:t>,</w:t>
      </w:r>
      <w:r w:rsidR="00325775">
        <w:t xml:space="preserve"> measures to promote</w:t>
      </w:r>
      <w:r w:rsidR="00AB3244">
        <w:t xml:space="preserve"> and maint</w:t>
      </w:r>
      <w:r w:rsidR="00325775">
        <w:t>ain</w:t>
      </w:r>
      <w:r w:rsidR="00AB3244">
        <w:t xml:space="preserve"> NZSL </w:t>
      </w:r>
    </w:p>
    <w:p w:rsidR="00AB3244" w:rsidRDefault="00ED1820" w:rsidP="00AB3244">
      <w:pPr>
        <w:pStyle w:val="BodyText"/>
        <w:numPr>
          <w:ilvl w:val="0"/>
          <w:numId w:val="14"/>
        </w:numPr>
      </w:pPr>
      <w:r>
        <w:t xml:space="preserve">develop </w:t>
      </w:r>
      <w:r w:rsidR="00325775">
        <w:t xml:space="preserve">a </w:t>
      </w:r>
      <w:r>
        <w:t xml:space="preserve">three year action plan to </w:t>
      </w:r>
      <w:r w:rsidR="00AB3244">
        <w:t>progress five initial priorities for NZSL - in education, in the home, access to information and services, access for deaf M</w:t>
      </w:r>
      <w:r w:rsidR="00AB3244">
        <w:rPr>
          <w:rFonts w:ascii="Arial" w:hAnsi="Arial" w:cs="Arial"/>
        </w:rPr>
        <w:t>ā</w:t>
      </w:r>
      <w:r w:rsidR="00AB3244">
        <w:t xml:space="preserve">ori, and interpreter standards </w:t>
      </w:r>
    </w:p>
    <w:p w:rsidR="00D72D87" w:rsidRDefault="00AB3244" w:rsidP="00AB3244">
      <w:pPr>
        <w:pStyle w:val="BodyText"/>
        <w:numPr>
          <w:ilvl w:val="0"/>
          <w:numId w:val="14"/>
        </w:numPr>
      </w:pPr>
      <w:r>
        <w:t xml:space="preserve">establish a NZSL fund to promote and maintain NZSL </w:t>
      </w:r>
      <w:r w:rsidR="00325775">
        <w:t>that will be</w:t>
      </w:r>
      <w:r>
        <w:t xml:space="preserve"> overseen by the advisory board</w:t>
      </w:r>
      <w:r w:rsidR="00863DA8">
        <w:t>.</w:t>
      </w:r>
    </w:p>
    <w:p w:rsidR="005B7B30" w:rsidRDefault="00D72D87" w:rsidP="006F6A04">
      <w:pPr>
        <w:pStyle w:val="BodyText"/>
      </w:pPr>
      <w:r>
        <w:t xml:space="preserve">I propose that Cabinet </w:t>
      </w:r>
      <w:r w:rsidR="00AB3244">
        <w:t>agree to the</w:t>
      </w:r>
      <w:r>
        <w:t xml:space="preserve"> recommendatio</w:t>
      </w:r>
      <w:r w:rsidR="00AB3244">
        <w:t>ns of the expert advisory group.</w:t>
      </w:r>
    </w:p>
    <w:p w:rsidR="006F6A04" w:rsidRPr="00506648" w:rsidRDefault="005B7B30" w:rsidP="005B7B30">
      <w:pPr>
        <w:pStyle w:val="BodyText"/>
      </w:pPr>
      <w:r w:rsidRPr="00506648">
        <w:t>Funding has been approved in Budget 2014 for $1.5 million annual</w:t>
      </w:r>
      <w:r w:rsidR="00506648" w:rsidRPr="00506648">
        <w:t>ly ($6 million over four years). This includes $0.25 million for the establishment and on-going costs of the advisory board. The remaining $1.25 million will be allocated by the advisory board to support initiatives that promote and maintain NZSL.</w:t>
      </w:r>
    </w:p>
    <w:p w:rsidR="00357075" w:rsidRPr="001353A5" w:rsidRDefault="003B0777" w:rsidP="004E3C65">
      <w:pPr>
        <w:pStyle w:val="Heading1"/>
      </w:pPr>
      <w:r>
        <w:lastRenderedPageBreak/>
        <w:t>New Zealand Sign Language</w:t>
      </w:r>
    </w:p>
    <w:p w:rsidR="00C77351" w:rsidRDefault="00C77351" w:rsidP="00C77351">
      <w:pPr>
        <w:pStyle w:val="BodyText"/>
      </w:pPr>
      <w:r>
        <w:t>There are approximately 11,000 deaf people who use NZSL as their primary form of communication and approximately 20,000 people in total who use NZSL, for instance parents who use NZSL to communicate with their deaf child.</w:t>
      </w:r>
      <w:r>
        <w:rPr>
          <w:rStyle w:val="FootnoteReference"/>
        </w:rPr>
        <w:footnoteReference w:id="1"/>
      </w:r>
      <w:r w:rsidR="00F678DD">
        <w:t xml:space="preserve"> </w:t>
      </w:r>
    </w:p>
    <w:p w:rsidR="00C64A9A" w:rsidRDefault="00D72D87" w:rsidP="00325775">
      <w:pPr>
        <w:pStyle w:val="BodyText"/>
      </w:pPr>
      <w:r>
        <w:t>NZSL</w:t>
      </w:r>
      <w:r w:rsidR="00325775">
        <w:t>,</w:t>
      </w:r>
      <w:r>
        <w:t xml:space="preserve"> </w:t>
      </w:r>
      <w:r w:rsidR="00C64A9A">
        <w:t>like New Zealand’s other official languages English and Te Reo M</w:t>
      </w:r>
      <w:r w:rsidR="00C64A9A" w:rsidRPr="00C64A9A">
        <w:rPr>
          <w:rFonts w:ascii="Arial" w:hAnsi="Arial" w:cs="Arial"/>
        </w:rPr>
        <w:t>ā</w:t>
      </w:r>
      <w:r w:rsidR="00C64A9A">
        <w:t>ori, has</w:t>
      </w:r>
      <w:r w:rsidR="00325775">
        <w:t xml:space="preserve"> its own grammatical structure</w:t>
      </w:r>
      <w:r w:rsidR="00DB3577">
        <w:t xml:space="preserve"> which </w:t>
      </w:r>
      <w:r w:rsidR="00C64A9A">
        <w:t xml:space="preserve">enables users to communicate fully </w:t>
      </w:r>
      <w:r w:rsidR="00DB3577">
        <w:t>and express their thoughts and emotions</w:t>
      </w:r>
      <w:r w:rsidR="00C64A9A">
        <w:t>. However</w:t>
      </w:r>
      <w:r w:rsidR="00325775">
        <w:t>,</w:t>
      </w:r>
      <w:r w:rsidR="00C64A9A">
        <w:t xml:space="preserve"> it differs </w:t>
      </w:r>
      <w:r w:rsidR="00C77351">
        <w:t xml:space="preserve">from spoken </w:t>
      </w:r>
      <w:r w:rsidR="004D2D8B">
        <w:t>languages</w:t>
      </w:r>
      <w:r w:rsidR="005C66DB">
        <w:t xml:space="preserve"> because it is </w:t>
      </w:r>
      <w:r w:rsidR="00C77351">
        <w:t xml:space="preserve">solely </w:t>
      </w:r>
      <w:r w:rsidR="005C66DB">
        <w:t xml:space="preserve">visual. </w:t>
      </w:r>
    </w:p>
    <w:p w:rsidR="00D72D87" w:rsidRDefault="00D72D87" w:rsidP="00D72D87">
      <w:pPr>
        <w:pStyle w:val="BodyText"/>
      </w:pPr>
      <w:r>
        <w:t>NZSL is</w:t>
      </w:r>
      <w:r w:rsidR="004D2D8B">
        <w:t xml:space="preserve"> crucial to</w:t>
      </w:r>
      <w:r w:rsidR="005363C9">
        <w:t xml:space="preserve"> many</w:t>
      </w:r>
      <w:r w:rsidR="004D2D8B">
        <w:t xml:space="preserve"> deaf people’s ability to learn, communicate and participate in society. </w:t>
      </w:r>
      <w:r w:rsidR="00325775">
        <w:t>The language</w:t>
      </w:r>
      <w:r>
        <w:t xml:space="preserve"> is vital to the expression of </w:t>
      </w:r>
      <w:r w:rsidR="005363C9">
        <w:t xml:space="preserve">deaf </w:t>
      </w:r>
      <w:r>
        <w:t>culture and identity.</w:t>
      </w:r>
      <w:r w:rsidR="008F1A89">
        <w:t xml:space="preserve"> Deaf culture is well documented and includes</w:t>
      </w:r>
      <w:r>
        <w:t xml:space="preserve"> shared values, norms, behaviours, history, humour, art, stories, poetry and traditions of deaf people</w:t>
      </w:r>
      <w:r w:rsidR="008F1A89">
        <w:t>. Deaf culture is</w:t>
      </w:r>
      <w:r>
        <w:t xml:space="preserve"> passed on from generation to generation through </w:t>
      </w:r>
      <w:r w:rsidR="008F1A89">
        <w:t>sign language</w:t>
      </w:r>
      <w:r>
        <w:t>.</w:t>
      </w:r>
    </w:p>
    <w:p w:rsidR="008F1A89" w:rsidRDefault="004931DA" w:rsidP="00EA492D">
      <w:pPr>
        <w:pStyle w:val="BodyText"/>
      </w:pPr>
      <w:r>
        <w:t xml:space="preserve">Developments in cochlear implants have meant that there has been greater auditory access for deaf people. However, </w:t>
      </w:r>
      <w:r w:rsidR="00325775">
        <w:t>for some</w:t>
      </w:r>
      <w:r>
        <w:t xml:space="preserve"> deaf people </w:t>
      </w:r>
      <w:r w:rsidR="00325775">
        <w:t xml:space="preserve">NZSL will remain the </w:t>
      </w:r>
      <w:r w:rsidR="00122447">
        <w:t>preferred</w:t>
      </w:r>
      <w:r w:rsidR="00325775">
        <w:t xml:space="preserve"> way to communicate. This may be due to the variability of cochlear implant performance </w:t>
      </w:r>
      <w:r w:rsidR="005363C9">
        <w:t xml:space="preserve">or where an individual chooses to use NZSL </w:t>
      </w:r>
      <w:r w:rsidR="008F1A89">
        <w:t>to</w:t>
      </w:r>
      <w:r w:rsidR="005363C9">
        <w:t xml:space="preserve"> identify with the deaf community</w:t>
      </w:r>
      <w:r w:rsidR="008F1A89">
        <w:t xml:space="preserve"> or increase their communication options.</w:t>
      </w:r>
    </w:p>
    <w:p w:rsidR="005B7B30" w:rsidRPr="00B71F33" w:rsidRDefault="00506648" w:rsidP="00EA492D">
      <w:pPr>
        <w:pStyle w:val="BodyText"/>
      </w:pPr>
      <w:r w:rsidRPr="00B71F33">
        <w:t xml:space="preserve">Funding is available to support </w:t>
      </w:r>
      <w:r w:rsidR="005B7B30" w:rsidRPr="00B71F33">
        <w:t>deaf people and NZSL users to access education</w:t>
      </w:r>
      <w:r w:rsidR="00E04118" w:rsidRPr="00B71F33">
        <w:t xml:space="preserve">, </w:t>
      </w:r>
      <w:r w:rsidR="005B7B30" w:rsidRPr="00B71F33">
        <w:t>employment and government</w:t>
      </w:r>
      <w:r w:rsidR="00E04118" w:rsidRPr="00B71F33">
        <w:t xml:space="preserve"> services</w:t>
      </w:r>
      <w:r w:rsidRPr="00B71F33">
        <w:t xml:space="preserve"> through provision of NZSL interpreters and other resources</w:t>
      </w:r>
      <w:r w:rsidR="00E04118" w:rsidRPr="00B71F33">
        <w:t>. For example</w:t>
      </w:r>
      <w:r w:rsidRPr="00B71F33">
        <w:t>,</w:t>
      </w:r>
      <w:r w:rsidR="00E04118" w:rsidRPr="00B71F33">
        <w:t xml:space="preserve"> the Ministry of Education provides funding </w:t>
      </w:r>
      <w:r w:rsidR="0055077B" w:rsidRPr="00B71F33">
        <w:t xml:space="preserve">through the Ongoing Resourcing Scheme </w:t>
      </w:r>
      <w:r w:rsidR="007F02FB" w:rsidRPr="00B71F33">
        <w:t>for</w:t>
      </w:r>
      <w:r w:rsidR="0055077B" w:rsidRPr="00B71F33">
        <w:t xml:space="preserve"> additional specialist</w:t>
      </w:r>
      <w:r w:rsidR="007F02FB" w:rsidRPr="00B71F33">
        <w:t>s</w:t>
      </w:r>
      <w:r w:rsidRPr="00B71F33">
        <w:t>, teacher</w:t>
      </w:r>
      <w:r w:rsidR="0055077B" w:rsidRPr="00B71F33">
        <w:t xml:space="preserve"> aid</w:t>
      </w:r>
      <w:r w:rsidR="00077CFA" w:rsidRPr="00B71F33">
        <w:t>e</w:t>
      </w:r>
      <w:r w:rsidR="0055077B" w:rsidRPr="00B71F33">
        <w:t>s, and or equipment that a child might need in the classroom</w:t>
      </w:r>
      <w:r w:rsidR="007F02FB" w:rsidRPr="00B71F33">
        <w:t xml:space="preserve"> to access the curriculum</w:t>
      </w:r>
      <w:r w:rsidR="0055077B" w:rsidRPr="00B71F33">
        <w:t>. Funds are also available</w:t>
      </w:r>
      <w:r w:rsidR="007F02FB" w:rsidRPr="00B71F33">
        <w:t xml:space="preserve"> for</w:t>
      </w:r>
      <w:r w:rsidR="0055077B" w:rsidRPr="00B71F33">
        <w:t xml:space="preserve"> NZSL interpreter services to ensure access to public health and disability support services</w:t>
      </w:r>
      <w:r w:rsidR="007F02FB" w:rsidRPr="00B71F33">
        <w:t>, C</w:t>
      </w:r>
      <w:r w:rsidR="0055077B" w:rsidRPr="00B71F33">
        <w:t>ourts</w:t>
      </w:r>
      <w:r w:rsidR="00A8182D" w:rsidRPr="00B71F33">
        <w:t>, Work and Income, and</w:t>
      </w:r>
      <w:r w:rsidR="0055077B" w:rsidRPr="00B71F33">
        <w:t xml:space="preserve"> employment support</w:t>
      </w:r>
      <w:r w:rsidR="00A8182D" w:rsidRPr="00B71F33">
        <w:t xml:space="preserve"> services</w:t>
      </w:r>
      <w:r w:rsidR="0055077B" w:rsidRPr="00B71F33">
        <w:t xml:space="preserve">. </w:t>
      </w:r>
    </w:p>
    <w:p w:rsidR="00A8182D" w:rsidRPr="00B71F33" w:rsidRDefault="00A8182D" w:rsidP="00EA492D">
      <w:pPr>
        <w:pStyle w:val="BodyText"/>
      </w:pPr>
      <w:r w:rsidRPr="00B71F33">
        <w:t>However, there is limited and ad hoc funding available for the promotion and maintenance of NZSL. For example there has been one off funding through the Think Differently Campaign for NZSL Week and workshops and classes in NZSL.</w:t>
      </w:r>
    </w:p>
    <w:p w:rsidR="008F1140" w:rsidRPr="001353A5" w:rsidRDefault="00863DA8" w:rsidP="004E3C65">
      <w:pPr>
        <w:pStyle w:val="Heading1"/>
        <w:rPr>
          <w:sz w:val="28"/>
        </w:rPr>
      </w:pPr>
      <w:r>
        <w:t xml:space="preserve">The </w:t>
      </w:r>
      <w:r w:rsidR="00D96320" w:rsidRPr="001353A5">
        <w:t>Government has a responsibility to promote and maintain New Zealand Sign Language</w:t>
      </w:r>
    </w:p>
    <w:p w:rsidR="00D96320" w:rsidRPr="008D357E" w:rsidRDefault="00D96320" w:rsidP="008D357E">
      <w:pPr>
        <w:pStyle w:val="Heading2"/>
      </w:pPr>
      <w:r w:rsidRPr="008D357E">
        <w:t>Responsibilities under the New Zealand Sign Language Act 2006</w:t>
      </w:r>
    </w:p>
    <w:p w:rsidR="000064C2" w:rsidRDefault="000064C2" w:rsidP="000064C2">
      <w:pPr>
        <w:pStyle w:val="BodyText"/>
      </w:pPr>
      <w:r>
        <w:t xml:space="preserve">NZSL </w:t>
      </w:r>
      <w:r w:rsidR="004D2D8B">
        <w:t xml:space="preserve">was made an </w:t>
      </w:r>
      <w:r>
        <w:t xml:space="preserve">official language of New Zealand </w:t>
      </w:r>
      <w:r w:rsidR="004D2D8B">
        <w:t>in</w:t>
      </w:r>
      <w:r>
        <w:t xml:space="preserve"> 2006</w:t>
      </w:r>
      <w:r w:rsidR="004D2D8B">
        <w:t xml:space="preserve"> through the New Zealand Sign Language Act 2006 (the Act).</w:t>
      </w:r>
      <w:r w:rsidR="002033BC">
        <w:t xml:space="preserve"> </w:t>
      </w:r>
      <w:r w:rsidR="004D2D8B">
        <w:t xml:space="preserve">At the </w:t>
      </w:r>
      <w:r w:rsidR="002033BC">
        <w:t>time it was</w:t>
      </w:r>
      <w:r w:rsidR="00D72D87">
        <w:t xml:space="preserve"> </w:t>
      </w:r>
      <w:r>
        <w:t xml:space="preserve">recognised that there </w:t>
      </w:r>
      <w:r w:rsidR="008F64A8">
        <w:t>is</w:t>
      </w:r>
      <w:r>
        <w:t xml:space="preserve"> a strong practical need to make NZSL an official language as </w:t>
      </w:r>
      <w:r w:rsidR="005363C9">
        <w:t xml:space="preserve">many </w:t>
      </w:r>
      <w:r>
        <w:t>deaf people have limited or no access to New Zealand’s two other</w:t>
      </w:r>
      <w:r w:rsidR="006C2C51">
        <w:t xml:space="preserve"> official</w:t>
      </w:r>
      <w:r>
        <w:t xml:space="preserve"> languages – English and Te Reo M</w:t>
      </w:r>
      <w:r>
        <w:rPr>
          <w:rFonts w:ascii="Arial" w:hAnsi="Arial" w:cs="Arial"/>
        </w:rPr>
        <w:t>ā</w:t>
      </w:r>
      <w:r>
        <w:t xml:space="preserve">ori. </w:t>
      </w:r>
    </w:p>
    <w:p w:rsidR="000064C2" w:rsidRDefault="004D2D8B" w:rsidP="000064C2">
      <w:pPr>
        <w:pStyle w:val="BodyText"/>
      </w:pPr>
      <w:r>
        <w:t>The Act</w:t>
      </w:r>
      <w:r w:rsidR="000064C2">
        <w:t xml:space="preserve"> </w:t>
      </w:r>
      <w:r w:rsidR="00506648">
        <w:t xml:space="preserve">requires </w:t>
      </w:r>
      <w:r w:rsidR="000064C2">
        <w:t>government d</w:t>
      </w:r>
      <w:r w:rsidR="008F64A8">
        <w:t>epartments, so far as reasonably</w:t>
      </w:r>
      <w:r w:rsidR="000064C2">
        <w:t xml:space="preserve"> practicable, </w:t>
      </w:r>
      <w:r>
        <w:t>to adhere to the</w:t>
      </w:r>
      <w:r w:rsidR="000064C2">
        <w:t xml:space="preserve"> following principles</w:t>
      </w:r>
      <w:r w:rsidR="008F64A8">
        <w:t>:</w:t>
      </w:r>
      <w:r w:rsidR="00390B9E">
        <w:rPr>
          <w:rStyle w:val="FootnoteReference"/>
        </w:rPr>
        <w:footnoteReference w:id="2"/>
      </w:r>
    </w:p>
    <w:p w:rsidR="000064C2" w:rsidRDefault="000064C2" w:rsidP="00785D6A">
      <w:pPr>
        <w:pStyle w:val="BodyText"/>
        <w:numPr>
          <w:ilvl w:val="0"/>
          <w:numId w:val="12"/>
        </w:numPr>
      </w:pPr>
      <w:r>
        <w:t>the deaf community should be consulted on matters relating to NZSL (including, for example, the promotion and maintenance of the use of NZSL)</w:t>
      </w:r>
    </w:p>
    <w:p w:rsidR="000064C2" w:rsidRDefault="000064C2" w:rsidP="00785D6A">
      <w:pPr>
        <w:pStyle w:val="BodyText"/>
        <w:numPr>
          <w:ilvl w:val="0"/>
          <w:numId w:val="12"/>
        </w:numPr>
      </w:pPr>
      <w:r>
        <w:t>NZSL should be used in the promotion to the public of government services and in the provision of information to the public</w:t>
      </w:r>
    </w:p>
    <w:p w:rsidR="00357075" w:rsidRPr="00357075" w:rsidRDefault="000064C2" w:rsidP="00785D6A">
      <w:pPr>
        <w:pStyle w:val="BodyText"/>
        <w:numPr>
          <w:ilvl w:val="0"/>
          <w:numId w:val="12"/>
        </w:numPr>
      </w:pPr>
      <w:r>
        <w:lastRenderedPageBreak/>
        <w:t>government services and information should be made accessible to the deaf community through the use of appropriate means, including the use of NZSL.</w:t>
      </w:r>
      <w:r w:rsidR="00390B9E" w:rsidRPr="00390B9E">
        <w:rPr>
          <w:rStyle w:val="FootnoteReference"/>
        </w:rPr>
        <w:t xml:space="preserve"> </w:t>
      </w:r>
    </w:p>
    <w:p w:rsidR="00D96320" w:rsidRPr="002033BC" w:rsidRDefault="00D96320" w:rsidP="008D357E">
      <w:pPr>
        <w:pStyle w:val="Heading2"/>
      </w:pPr>
      <w:r w:rsidRPr="002033BC">
        <w:t>Responsibilities under the United Nations Convention on the Rights of Persons with Disabilities</w:t>
      </w:r>
    </w:p>
    <w:p w:rsidR="00A71603" w:rsidRDefault="000064C2" w:rsidP="00506648">
      <w:pPr>
        <w:pStyle w:val="BodyText"/>
      </w:pPr>
      <w:r>
        <w:t xml:space="preserve">New Zealand ratified the United Nations Convention on the Rights of Persons with Disabilities (the Convention) on 25 September 2008. In September 2014, New Zealand will be examined </w:t>
      </w:r>
      <w:r w:rsidR="00676BB9">
        <w:t>by the United Nations Committee on the Rights of Persons with Disabilities</w:t>
      </w:r>
      <w:r w:rsidR="00863DA8">
        <w:t xml:space="preserve"> (the Committee)</w:t>
      </w:r>
      <w:r w:rsidR="00676BB9">
        <w:t xml:space="preserve"> </w:t>
      </w:r>
      <w:r>
        <w:t xml:space="preserve">on its progress in implementing the Convention. </w:t>
      </w:r>
    </w:p>
    <w:p w:rsidR="00D96320" w:rsidRPr="001353A5" w:rsidRDefault="00D96320" w:rsidP="004E3C65">
      <w:pPr>
        <w:pStyle w:val="Heading1"/>
        <w:rPr>
          <w:sz w:val="28"/>
        </w:rPr>
      </w:pPr>
      <w:r w:rsidRPr="001353A5">
        <w:t>Deaf people continue to experience barriers using New Zealand Sign Language</w:t>
      </w:r>
    </w:p>
    <w:p w:rsidR="001353A5" w:rsidRDefault="008F43DA" w:rsidP="000A6DE3">
      <w:pPr>
        <w:pStyle w:val="BodyText"/>
      </w:pPr>
      <w:r>
        <w:t xml:space="preserve">Between July 2012 and June 2013, the </w:t>
      </w:r>
      <w:r w:rsidR="00D72D87" w:rsidRPr="00D72D87">
        <w:t xml:space="preserve">Human Rights Commission conducted an inquiry </w:t>
      </w:r>
      <w:r w:rsidR="00446746" w:rsidRPr="00D72D87">
        <w:t>into</w:t>
      </w:r>
      <w:r w:rsidR="00446746">
        <w:t xml:space="preserve"> </w:t>
      </w:r>
      <w:r w:rsidR="00446746" w:rsidRPr="00D72D87">
        <w:t>NZSL</w:t>
      </w:r>
      <w:r>
        <w:t>.</w:t>
      </w:r>
      <w:r w:rsidR="00D72D87" w:rsidRPr="00D72D87">
        <w:t xml:space="preserve"> </w:t>
      </w:r>
      <w:r>
        <w:t xml:space="preserve">The resulting report </w:t>
      </w:r>
      <w:r w:rsidRPr="008F43DA">
        <w:rPr>
          <w:i/>
        </w:rPr>
        <w:t>‘A new era in the right to sign’</w:t>
      </w:r>
      <w:r>
        <w:t xml:space="preserve"> identified that deaf people experience barriers </w:t>
      </w:r>
      <w:r w:rsidR="006C2C51">
        <w:t>that impact</w:t>
      </w:r>
      <w:r>
        <w:t xml:space="preserve"> on their quality of life and full enjoyment of fundamental human rights</w:t>
      </w:r>
      <w:r w:rsidR="006C2C51">
        <w:t xml:space="preserve"> when using NZSL</w:t>
      </w:r>
      <w:r>
        <w:t xml:space="preserve">. Access to NZSL is </w:t>
      </w:r>
      <w:r w:rsidR="006C2C51">
        <w:t>crucial</w:t>
      </w:r>
      <w:r>
        <w:t xml:space="preserve"> to the ability of deaf people to learn </w:t>
      </w:r>
      <w:r w:rsidR="006C2C51">
        <w:t xml:space="preserve">to </w:t>
      </w:r>
      <w:r>
        <w:t xml:space="preserve">communicate and participate in society. </w:t>
      </w:r>
      <w:r w:rsidR="00D72D87" w:rsidRPr="00D72D87">
        <w:t xml:space="preserve">The inquiry focused on three areas: </w:t>
      </w:r>
      <w:r w:rsidR="009D551A">
        <w:t>education for deaf people and NZSL users, access to information and services through NZSL, and the promotion and maintenance of NZSL.</w:t>
      </w:r>
    </w:p>
    <w:p w:rsidR="005A369B" w:rsidRPr="005A369B" w:rsidRDefault="003D66B1" w:rsidP="008D357E">
      <w:pPr>
        <w:pStyle w:val="Heading2"/>
      </w:pPr>
      <w:r>
        <w:t>New Zealand Sign Language in e</w:t>
      </w:r>
      <w:r w:rsidR="005A369B" w:rsidRPr="005A369B">
        <w:t>ducation</w:t>
      </w:r>
    </w:p>
    <w:p w:rsidR="005A369B" w:rsidRDefault="005A369B" w:rsidP="005A369B">
      <w:pPr>
        <w:pStyle w:val="BodyText"/>
      </w:pPr>
      <w:r>
        <w:t xml:space="preserve">The inquiry report identified that there were a number of gaps </w:t>
      </w:r>
      <w:r w:rsidR="007F4AA3">
        <w:t>for</w:t>
      </w:r>
      <w:r>
        <w:t xml:space="preserve"> deaf </w:t>
      </w:r>
      <w:r w:rsidR="007F4AA3">
        <w:t xml:space="preserve">people </w:t>
      </w:r>
      <w:r>
        <w:t>and NZSL users in education including</w:t>
      </w:r>
      <w:r w:rsidR="00C64A9A">
        <w:t xml:space="preserve"> limited</w:t>
      </w:r>
      <w:r>
        <w:t>:</w:t>
      </w:r>
    </w:p>
    <w:p w:rsidR="005A369B" w:rsidRDefault="005A369B" w:rsidP="00785D6A">
      <w:pPr>
        <w:pStyle w:val="BodyText"/>
        <w:numPr>
          <w:ilvl w:val="0"/>
          <w:numId w:val="17"/>
        </w:numPr>
      </w:pPr>
      <w:r>
        <w:t xml:space="preserve">NZSL resources and support to enable the acquisition of NZSL including funding for NZSL interpreters </w:t>
      </w:r>
      <w:r w:rsidR="00863DA8">
        <w:t>in</w:t>
      </w:r>
      <w:r>
        <w:t xml:space="preserve"> schools</w:t>
      </w:r>
      <w:r w:rsidR="00945195">
        <w:t xml:space="preserve"> and the </w:t>
      </w:r>
      <w:r>
        <w:t>capacity of staff to deliver NZSL in early childhood and schools</w:t>
      </w:r>
    </w:p>
    <w:p w:rsidR="005A369B" w:rsidRDefault="005A369B" w:rsidP="00785D6A">
      <w:pPr>
        <w:pStyle w:val="BodyText"/>
        <w:numPr>
          <w:ilvl w:val="0"/>
          <w:numId w:val="17"/>
        </w:numPr>
      </w:pPr>
      <w:r>
        <w:t xml:space="preserve">support for NZSL within the home and opportunities for pre-school children and their families to learn NZSL </w:t>
      </w:r>
    </w:p>
    <w:p w:rsidR="005A369B" w:rsidRDefault="005A369B" w:rsidP="00785D6A">
      <w:pPr>
        <w:pStyle w:val="BodyText"/>
        <w:numPr>
          <w:ilvl w:val="0"/>
          <w:numId w:val="17"/>
        </w:numPr>
      </w:pPr>
      <w:r>
        <w:t>collection and analysis of early childhood data that can be disaggregated by deafness and NZSL usage</w:t>
      </w:r>
    </w:p>
    <w:p w:rsidR="005A369B" w:rsidRDefault="005A369B" w:rsidP="00785D6A">
      <w:pPr>
        <w:pStyle w:val="BodyText"/>
        <w:numPr>
          <w:ilvl w:val="0"/>
          <w:numId w:val="17"/>
        </w:numPr>
      </w:pPr>
      <w:r>
        <w:t>opportunities for deaf children and children with communication difficulties to interact with signing peers and fluent NZSL users</w:t>
      </w:r>
      <w:r w:rsidR="001353A5">
        <w:t>.</w:t>
      </w:r>
    </w:p>
    <w:p w:rsidR="00380E6F" w:rsidRPr="006510FC" w:rsidRDefault="00380E6F" w:rsidP="008D357E">
      <w:pPr>
        <w:pStyle w:val="Heading2"/>
        <w:rPr>
          <w:szCs w:val="22"/>
        </w:rPr>
      </w:pPr>
      <w:r w:rsidRPr="00D72D87">
        <w:t>Access to information and services</w:t>
      </w:r>
    </w:p>
    <w:p w:rsidR="006D6B82" w:rsidRPr="006D6B82" w:rsidRDefault="00945195" w:rsidP="006D6B82">
      <w:pPr>
        <w:pStyle w:val="BodyText"/>
        <w:rPr>
          <w:i/>
        </w:rPr>
      </w:pPr>
      <w:r>
        <w:t>The inquiry report identified that access to information and services for deaf people an</w:t>
      </w:r>
      <w:r w:rsidR="007F4AA3">
        <w:t xml:space="preserve">d NZSL users </w:t>
      </w:r>
      <w:r w:rsidR="002033BC">
        <w:t>is</w:t>
      </w:r>
      <w:r w:rsidR="007F4AA3">
        <w:t xml:space="preserve"> limited</w:t>
      </w:r>
      <w:r w:rsidR="002033BC">
        <w:t>. This is</w:t>
      </w:r>
      <w:r w:rsidR="007F4AA3">
        <w:t xml:space="preserve"> due to poor </w:t>
      </w:r>
      <w:r>
        <w:t>implementation of policies for NZSL interpreting</w:t>
      </w:r>
      <w:r w:rsidR="008F1A89">
        <w:t xml:space="preserve"> services</w:t>
      </w:r>
      <w:r>
        <w:t xml:space="preserve"> and translation of information </w:t>
      </w:r>
      <w:r w:rsidR="00A71603">
        <w:t>by government agencies</w:t>
      </w:r>
      <w:r w:rsidR="007F4AA3">
        <w:t xml:space="preserve">. The inquiry also found that there is </w:t>
      </w:r>
      <w:r>
        <w:t>insufficient funding to meet the current demand for NZSL interpreter and translation services</w:t>
      </w:r>
      <w:r w:rsidR="006D6B82">
        <w:t xml:space="preserve"> and</w:t>
      </w:r>
      <w:r w:rsidR="002033BC">
        <w:t xml:space="preserve"> that there are</w:t>
      </w:r>
      <w:r w:rsidR="006D6B82">
        <w:t xml:space="preserve"> </w:t>
      </w:r>
      <w:r w:rsidR="006C2C51">
        <w:t>quality and capacity issues</w:t>
      </w:r>
      <w:r w:rsidR="006D6B82">
        <w:t xml:space="preserve"> with </w:t>
      </w:r>
      <w:r w:rsidR="007F4AA3">
        <w:t>i</w:t>
      </w:r>
      <w:r w:rsidR="006510FC">
        <w:t>nterpreter standards</w:t>
      </w:r>
      <w:r w:rsidR="006D6B82">
        <w:t xml:space="preserve"> and workforce development. </w:t>
      </w:r>
    </w:p>
    <w:p w:rsidR="002B7A69" w:rsidRDefault="002B7A69" w:rsidP="008D357E">
      <w:pPr>
        <w:pStyle w:val="Heading2"/>
      </w:pPr>
    </w:p>
    <w:p w:rsidR="00380E6F" w:rsidRPr="006510FC" w:rsidRDefault="00380E6F" w:rsidP="008D357E">
      <w:pPr>
        <w:pStyle w:val="Heading2"/>
        <w:rPr>
          <w:szCs w:val="22"/>
        </w:rPr>
      </w:pPr>
      <w:r w:rsidRPr="00D72D87">
        <w:t>Promotion and maintenance of New Zealand Sign Language</w:t>
      </w:r>
    </w:p>
    <w:p w:rsidR="00D72D87" w:rsidRDefault="00532396" w:rsidP="00D72D87">
      <w:pPr>
        <w:pStyle w:val="BodyText"/>
      </w:pPr>
      <w:r>
        <w:t xml:space="preserve">The </w:t>
      </w:r>
      <w:r w:rsidR="00CD7DDB">
        <w:t xml:space="preserve">Human Rights Commission </w:t>
      </w:r>
      <w:r>
        <w:t>inquiry report identified that the Act</w:t>
      </w:r>
      <w:r w:rsidR="00863DA8">
        <w:t xml:space="preserve"> </w:t>
      </w:r>
      <w:r>
        <w:t xml:space="preserve">does not provide for </w:t>
      </w:r>
      <w:r w:rsidR="001353A5">
        <w:t>mechanisms</w:t>
      </w:r>
      <w:r>
        <w:t xml:space="preserve"> usually associated with lan</w:t>
      </w:r>
      <w:r w:rsidR="001353A5">
        <w:t>guage promotion and maintenance</w:t>
      </w:r>
      <w:r w:rsidR="006C2C51">
        <w:t>. T</w:t>
      </w:r>
      <w:r w:rsidR="00D72D87">
        <w:t>here is limited and ad hoc promotion and maintenance of NZSL due to:</w:t>
      </w:r>
    </w:p>
    <w:p w:rsidR="00D72D87" w:rsidRDefault="00D72D87" w:rsidP="00785D6A">
      <w:pPr>
        <w:pStyle w:val="BodyText"/>
        <w:numPr>
          <w:ilvl w:val="0"/>
          <w:numId w:val="13"/>
        </w:numPr>
      </w:pPr>
      <w:r>
        <w:t>inconsistent and poor practice by government agencies in using NZSL</w:t>
      </w:r>
    </w:p>
    <w:p w:rsidR="00D72D87" w:rsidRDefault="00D72D87" w:rsidP="00785D6A">
      <w:pPr>
        <w:pStyle w:val="BodyText"/>
        <w:numPr>
          <w:ilvl w:val="0"/>
          <w:numId w:val="13"/>
        </w:numPr>
      </w:pPr>
      <w:r>
        <w:t>no overarching strategy to ensure the promotion and maintenance of NZSL</w:t>
      </w:r>
    </w:p>
    <w:p w:rsidR="00D72D87" w:rsidRDefault="00D72D87" w:rsidP="00785D6A">
      <w:pPr>
        <w:pStyle w:val="BodyText"/>
        <w:numPr>
          <w:ilvl w:val="0"/>
          <w:numId w:val="13"/>
        </w:numPr>
      </w:pPr>
      <w:r>
        <w:t>no formalised partnership mechanism for NZSL or entity with custodial responsibilities for maintaining and promoting the language</w:t>
      </w:r>
    </w:p>
    <w:p w:rsidR="005B7B30" w:rsidRPr="004E3C65" w:rsidRDefault="00D72D87" w:rsidP="005B7B30">
      <w:pPr>
        <w:pStyle w:val="BodyText"/>
        <w:numPr>
          <w:ilvl w:val="0"/>
          <w:numId w:val="13"/>
        </w:numPr>
      </w:pPr>
      <w:r>
        <w:t xml:space="preserve">limited engagement by government agencies with the deaf community </w:t>
      </w:r>
      <w:r w:rsidR="006A712D">
        <w:t>and no monitoring of when government agencies consult with the deaf community on matters relating to NZSL, or with whom they consult.</w:t>
      </w:r>
    </w:p>
    <w:p w:rsidR="00D96320" w:rsidRPr="001A56D5" w:rsidRDefault="00D96320" w:rsidP="004E3C65">
      <w:pPr>
        <w:pStyle w:val="Heading1"/>
        <w:rPr>
          <w:sz w:val="28"/>
        </w:rPr>
      </w:pPr>
      <w:r w:rsidRPr="001A56D5">
        <w:t>The Office for Disability Issues convened an expert advisory group</w:t>
      </w:r>
      <w:r w:rsidR="00D22240" w:rsidRPr="001A56D5">
        <w:t xml:space="preserve"> </w:t>
      </w:r>
      <w:r w:rsidR="00C77351">
        <w:t>in response to the Human Rights Commission report</w:t>
      </w:r>
    </w:p>
    <w:p w:rsidR="00C77351" w:rsidRDefault="00C77351" w:rsidP="00FC6F17">
      <w:pPr>
        <w:pStyle w:val="BodyText"/>
      </w:pPr>
      <w:r>
        <w:t>The purpose of the expert advisory group was to identify priorities for a work programme to promote and maintain NZSL and to provide advice on longer term mechanisms for advancing the work programme.</w:t>
      </w:r>
    </w:p>
    <w:p w:rsidR="00FC6F17" w:rsidRDefault="00C77351" w:rsidP="00FC6F17">
      <w:pPr>
        <w:pStyle w:val="BodyText"/>
      </w:pPr>
      <w:r>
        <w:t>The expert advisory group consisted of eight members who represented the diversity of the deaf community and NZSL users and were people with:</w:t>
      </w:r>
      <w:r w:rsidR="002033BC">
        <w:br/>
      </w:r>
    </w:p>
    <w:p w:rsidR="00FC6F17" w:rsidRDefault="00FC6F17" w:rsidP="002033BC">
      <w:pPr>
        <w:pStyle w:val="BodyText"/>
        <w:numPr>
          <w:ilvl w:val="0"/>
          <w:numId w:val="16"/>
        </w:numPr>
        <w:spacing w:before="0"/>
      </w:pPr>
      <w:r>
        <w:t>personal experience</w:t>
      </w:r>
      <w:r w:rsidR="002033BC">
        <w:t xml:space="preserve"> and fluency in</w:t>
      </w:r>
      <w:r>
        <w:t xml:space="preserve"> learning </w:t>
      </w:r>
      <w:r w:rsidR="006C2C51">
        <w:t xml:space="preserve">and using </w:t>
      </w:r>
      <w:r>
        <w:t>NZSL</w:t>
      </w:r>
    </w:p>
    <w:p w:rsidR="00FC6F17" w:rsidRDefault="00FC6F17" w:rsidP="002033BC">
      <w:pPr>
        <w:pStyle w:val="BodyText"/>
        <w:numPr>
          <w:ilvl w:val="0"/>
          <w:numId w:val="16"/>
        </w:numPr>
      </w:pPr>
      <w:r>
        <w:t xml:space="preserve">knowledge of communication barriers experienced by NZSL users, particularly deaf people </w:t>
      </w:r>
    </w:p>
    <w:p w:rsidR="00FC6F17" w:rsidRDefault="00FC6F17" w:rsidP="002033BC">
      <w:pPr>
        <w:pStyle w:val="BodyText"/>
        <w:numPr>
          <w:ilvl w:val="0"/>
          <w:numId w:val="16"/>
        </w:numPr>
      </w:pPr>
      <w:r>
        <w:t>active linkages with the deaf community, families with deaf members, and other NZSL users</w:t>
      </w:r>
    </w:p>
    <w:p w:rsidR="000064C2" w:rsidRDefault="00FC6F17" w:rsidP="002033BC">
      <w:pPr>
        <w:pStyle w:val="BodyText"/>
        <w:numPr>
          <w:ilvl w:val="0"/>
          <w:numId w:val="16"/>
        </w:numPr>
      </w:pPr>
      <w:r>
        <w:t>knowledge of pro</w:t>
      </w:r>
      <w:r w:rsidR="00863DA8">
        <w:t>motion and maintenance of NZSL,</w:t>
      </w:r>
      <w:r>
        <w:t xml:space="preserve"> including the teaching and learning of NZSL</w:t>
      </w:r>
      <w:r w:rsidR="002033BC">
        <w:t>.</w:t>
      </w:r>
    </w:p>
    <w:p w:rsidR="00D96320" w:rsidRPr="001353A5" w:rsidRDefault="00D96320" w:rsidP="004E3C65">
      <w:pPr>
        <w:pStyle w:val="Heading1"/>
        <w:rPr>
          <w:rFonts w:ascii="Arial" w:hAnsi="Arial"/>
        </w:rPr>
      </w:pPr>
      <w:r w:rsidRPr="001353A5">
        <w:t xml:space="preserve">I propose that Cabinet </w:t>
      </w:r>
      <w:r w:rsidR="001353A5">
        <w:t>agree to the</w:t>
      </w:r>
      <w:r w:rsidRPr="001353A5">
        <w:t xml:space="preserve"> recommendations of the expert advisory group</w:t>
      </w:r>
    </w:p>
    <w:p w:rsidR="001A56D5" w:rsidRDefault="00A71603" w:rsidP="004931DA">
      <w:pPr>
        <w:pStyle w:val="BodyText"/>
      </w:pPr>
      <w:r w:rsidRPr="00A71603">
        <w:t>The advice of the expert advisory group is a culminati</w:t>
      </w:r>
      <w:r>
        <w:t>on of advice from the community and the</w:t>
      </w:r>
      <w:r w:rsidRPr="00A71603">
        <w:t xml:space="preserve"> inquiry into NZSL by the Human Rights Commission</w:t>
      </w:r>
      <w:r w:rsidR="006C2C51">
        <w:t>. On 8 April 2014</w:t>
      </w:r>
      <w:r w:rsidRPr="00A71603">
        <w:t xml:space="preserve"> </w:t>
      </w:r>
      <w:r w:rsidR="006C2C51">
        <w:t>t</w:t>
      </w:r>
      <w:r w:rsidR="004931DA">
        <w:t>hey</w:t>
      </w:r>
      <w:r w:rsidR="001A56D5">
        <w:t xml:space="preserve"> made three recommendations</w:t>
      </w:r>
      <w:r w:rsidR="006C2C51">
        <w:t xml:space="preserve"> to the Ministerial Committee on Disability Issues</w:t>
      </w:r>
      <w:r w:rsidR="001A56D5">
        <w:t xml:space="preserve">: </w:t>
      </w:r>
      <w:r w:rsidR="004E3C65">
        <w:t xml:space="preserve">to </w:t>
      </w:r>
      <w:r w:rsidR="001A56D5">
        <w:t>establish an advisory board,</w:t>
      </w:r>
      <w:r w:rsidR="004E3C65">
        <w:t xml:space="preserve"> to</w:t>
      </w:r>
      <w:r w:rsidR="001A56D5">
        <w:t xml:space="preserve"> progress five i</w:t>
      </w:r>
      <w:r w:rsidR="003D66B1">
        <w:t>nitial priorities for NZSL, and</w:t>
      </w:r>
      <w:r w:rsidR="004E3C65">
        <w:t xml:space="preserve"> to </w:t>
      </w:r>
      <w:r w:rsidR="001A56D5">
        <w:t xml:space="preserve">establish an NZSL Fund. </w:t>
      </w:r>
    </w:p>
    <w:p w:rsidR="005B7B30" w:rsidRPr="00506648" w:rsidRDefault="005B7B30" w:rsidP="005B7B30">
      <w:pPr>
        <w:pStyle w:val="BodyText"/>
      </w:pPr>
      <w:r w:rsidRPr="00506648">
        <w:t>Funding has been approved in Budget 2014 for $1.5 million annually ($6 million over four years) to be included in Vote Social Development, Promoting positive outcomes for disabled people appropriation.</w:t>
      </w:r>
    </w:p>
    <w:p w:rsidR="005B7B30" w:rsidRPr="00506648" w:rsidRDefault="005B7B30" w:rsidP="005B7B30">
      <w:pPr>
        <w:pStyle w:val="BodyText"/>
      </w:pPr>
      <w:r w:rsidRPr="00506648">
        <w:t>This includes $0.25 million for the establishment and on-going costs of the advisory board including payment of members, travel, interpreter</w:t>
      </w:r>
      <w:r w:rsidR="002B7A69">
        <w:t xml:space="preserve"> and translation services and 1 full time equivalent</w:t>
      </w:r>
      <w:r w:rsidRPr="00506648">
        <w:t xml:space="preserve"> for secretariat support. The remaining $1.25 million will be allocated by the advisory board through the NZSL Fund to support </w:t>
      </w:r>
      <w:r w:rsidR="00765053" w:rsidRPr="00506648">
        <w:t>initiatives that promote and maintain NZSL.</w:t>
      </w:r>
      <w:r w:rsidRPr="00506648">
        <w:t xml:space="preserve"> </w:t>
      </w:r>
    </w:p>
    <w:p w:rsidR="00B91D84" w:rsidRPr="008D357E" w:rsidRDefault="00C77351" w:rsidP="008D357E">
      <w:pPr>
        <w:pStyle w:val="Heading2"/>
      </w:pPr>
      <w:r w:rsidRPr="008D357E">
        <w:t xml:space="preserve">Recommendation one - </w:t>
      </w:r>
      <w:r w:rsidR="00D22240" w:rsidRPr="008D357E">
        <w:t>Establish a</w:t>
      </w:r>
      <w:r w:rsidR="00B31A0C" w:rsidRPr="008D357E">
        <w:t>n</w:t>
      </w:r>
      <w:r w:rsidR="00D22240" w:rsidRPr="008D357E">
        <w:t xml:space="preserve"> </w:t>
      </w:r>
      <w:r w:rsidR="00B31A0C" w:rsidRPr="008D357E">
        <w:t>advisory board</w:t>
      </w:r>
    </w:p>
    <w:p w:rsidR="00D64B51" w:rsidRDefault="00122447" w:rsidP="004931DA">
      <w:pPr>
        <w:pStyle w:val="BodyText"/>
      </w:pPr>
      <w:r>
        <w:t>The expert advisory group recommended the establishment of</w:t>
      </w:r>
      <w:r w:rsidR="000064C2">
        <w:t xml:space="preserve"> a</w:t>
      </w:r>
      <w:r w:rsidR="00607A23">
        <w:t>n</w:t>
      </w:r>
      <w:r w:rsidR="000064C2">
        <w:t xml:space="preserve"> </w:t>
      </w:r>
      <w:r w:rsidR="00C64A9A">
        <w:t xml:space="preserve">NZSL </w:t>
      </w:r>
      <w:r w:rsidR="00D611FD">
        <w:t>advisory</w:t>
      </w:r>
      <w:r w:rsidR="000064C2">
        <w:t xml:space="preserve"> </w:t>
      </w:r>
      <w:r w:rsidR="004E3C65">
        <w:t xml:space="preserve">board </w:t>
      </w:r>
      <w:r w:rsidR="00C64A9A">
        <w:t xml:space="preserve">(the advisory board) </w:t>
      </w:r>
      <w:r>
        <w:t xml:space="preserve">with </w:t>
      </w:r>
      <w:r w:rsidR="000064C2">
        <w:t>responsibility to promote and maintain</w:t>
      </w:r>
      <w:r w:rsidR="00B91D84">
        <w:t xml:space="preserve"> NZSL and to provide oversight on all matters relating to NZSL.</w:t>
      </w:r>
      <w:r w:rsidR="000064C2">
        <w:t xml:space="preserve"> </w:t>
      </w:r>
      <w:r w:rsidR="00D64B51">
        <w:t xml:space="preserve">The advisory board </w:t>
      </w:r>
      <w:r w:rsidR="001353A5">
        <w:t xml:space="preserve">would </w:t>
      </w:r>
      <w:r w:rsidR="00D64B51">
        <w:t xml:space="preserve">be responsible to the Minister for Disability Issues and report directly to the Minister on issues relating to the promotion and maintenance of NZSL. </w:t>
      </w:r>
    </w:p>
    <w:p w:rsidR="00607A23" w:rsidRDefault="00FC23D0" w:rsidP="00607A23">
      <w:pPr>
        <w:pStyle w:val="BodyText"/>
      </w:pPr>
      <w:r>
        <w:t>I propose that t</w:t>
      </w:r>
      <w:r w:rsidR="00607A23">
        <w:t xml:space="preserve">he </w:t>
      </w:r>
      <w:r>
        <w:t>advisory b</w:t>
      </w:r>
      <w:r w:rsidR="00607A23">
        <w:t xml:space="preserve">oard </w:t>
      </w:r>
      <w:r w:rsidR="00B91D84">
        <w:t>has up to</w:t>
      </w:r>
      <w:r>
        <w:t xml:space="preserve"> </w:t>
      </w:r>
      <w:r w:rsidR="00607A23">
        <w:t xml:space="preserve">10 members </w:t>
      </w:r>
      <w:r w:rsidR="005B2F62">
        <w:t xml:space="preserve">who are </w:t>
      </w:r>
      <w:r w:rsidR="00607A23">
        <w:t>NZSL</w:t>
      </w:r>
      <w:r w:rsidR="00B91D84">
        <w:t xml:space="preserve"> users</w:t>
      </w:r>
      <w:r w:rsidR="005B2F62">
        <w:t>.</w:t>
      </w:r>
      <w:r w:rsidR="00607A23">
        <w:t xml:space="preserve"> </w:t>
      </w:r>
      <w:r w:rsidR="00B91D84">
        <w:t>Members would be selected to ensure the diversity of NZSL users. I anticipate a minimum</w:t>
      </w:r>
      <w:r w:rsidR="006C2C51">
        <w:t xml:space="preserve"> of six</w:t>
      </w:r>
      <w:r w:rsidR="00B91D84">
        <w:t xml:space="preserve"> members would be</w:t>
      </w:r>
      <w:r w:rsidR="004A576C">
        <w:t xml:space="preserve"> deaf </w:t>
      </w:r>
      <w:r w:rsidR="00B91D84">
        <w:t>and use NZSL, t</w:t>
      </w:r>
      <w:r w:rsidR="004A576C">
        <w:t>wo members would</w:t>
      </w:r>
      <w:r w:rsidR="00607A23">
        <w:t xml:space="preserve"> be M</w:t>
      </w:r>
      <w:r w:rsidR="00607A23">
        <w:rPr>
          <w:rFonts w:ascii="Arial" w:hAnsi="Arial" w:cs="Arial"/>
        </w:rPr>
        <w:t>ā</w:t>
      </w:r>
      <w:r w:rsidR="00B91D84">
        <w:t>ori</w:t>
      </w:r>
      <w:r w:rsidR="00DB3577">
        <w:t xml:space="preserve">, one member would be </w:t>
      </w:r>
      <w:r w:rsidR="006C2C51">
        <w:t xml:space="preserve">a deaf person of </w:t>
      </w:r>
      <w:r w:rsidR="00DB3577">
        <w:t>Pacific</w:t>
      </w:r>
      <w:r w:rsidR="006C2C51">
        <w:t xml:space="preserve"> background</w:t>
      </w:r>
      <w:r w:rsidR="00DB3577">
        <w:t>,</w:t>
      </w:r>
      <w:r w:rsidR="00B91D84">
        <w:t xml:space="preserve"> and o</w:t>
      </w:r>
      <w:r w:rsidR="00607A23">
        <w:t>ne member w</w:t>
      </w:r>
      <w:r w:rsidR="004A576C">
        <w:t>ould</w:t>
      </w:r>
      <w:r w:rsidR="00607A23">
        <w:t xml:space="preserve"> be a representative from </w:t>
      </w:r>
      <w:r w:rsidR="005B2F62">
        <w:t xml:space="preserve">the </w:t>
      </w:r>
      <w:r w:rsidR="00607A23">
        <w:t>Disabled People’s Organisation for the deaf community</w:t>
      </w:r>
      <w:r w:rsidR="005B2F62">
        <w:t xml:space="preserve"> (Deaf Aotearoa New Zealand)</w:t>
      </w:r>
      <w:r w:rsidR="00607A23">
        <w:t>. Ide</w:t>
      </w:r>
      <w:r w:rsidR="006C2C51">
        <w:t>ally,</w:t>
      </w:r>
      <w:r w:rsidR="00B91D84">
        <w:t xml:space="preserve"> members</w:t>
      </w:r>
      <w:r w:rsidR="002B7A69">
        <w:t>hip</w:t>
      </w:r>
      <w:r w:rsidR="00607A23">
        <w:t xml:space="preserve"> </w:t>
      </w:r>
      <w:r w:rsidR="004931DA">
        <w:t xml:space="preserve">would </w:t>
      </w:r>
      <w:r w:rsidR="00607A23">
        <w:t xml:space="preserve">also </w:t>
      </w:r>
      <w:r w:rsidR="004E3C65">
        <w:t>reflect the perspective of</w:t>
      </w:r>
      <w:r w:rsidR="00C64A9A">
        <w:t xml:space="preserve"> youth,</w:t>
      </w:r>
      <w:r w:rsidR="00DB3577">
        <w:t xml:space="preserve"> families,</w:t>
      </w:r>
      <w:r w:rsidR="00C64A9A">
        <w:t xml:space="preserve"> </w:t>
      </w:r>
      <w:r w:rsidR="00BB31CE" w:rsidRPr="00506648">
        <w:t xml:space="preserve">older people, </w:t>
      </w:r>
      <w:r w:rsidR="00C64A9A">
        <w:t xml:space="preserve">and </w:t>
      </w:r>
      <w:r w:rsidR="00446746">
        <w:t xml:space="preserve">have a </w:t>
      </w:r>
      <w:r w:rsidR="00C64A9A">
        <w:t>gender</w:t>
      </w:r>
      <w:r w:rsidR="00446746">
        <w:t xml:space="preserve"> balance</w:t>
      </w:r>
      <w:r w:rsidR="00607A23">
        <w:t>.</w:t>
      </w:r>
    </w:p>
    <w:p w:rsidR="004931DA" w:rsidRDefault="008D357E" w:rsidP="008D357E">
      <w:pPr>
        <w:pStyle w:val="BodyText"/>
      </w:pPr>
      <w:r>
        <w:t xml:space="preserve">I also recommend that the </w:t>
      </w:r>
      <w:r w:rsidR="00122447">
        <w:t xml:space="preserve">advisory board would </w:t>
      </w:r>
      <w:r w:rsidR="00B91D84">
        <w:t xml:space="preserve">be </w:t>
      </w:r>
      <w:r>
        <w:t xml:space="preserve">supported by a secretariat (1FTE) with support from the Office for Disability Issues and other expertise or resourcing within the Ministry of Social Development. </w:t>
      </w:r>
    </w:p>
    <w:p w:rsidR="000064C2" w:rsidRDefault="00A63E59" w:rsidP="004931DA">
      <w:pPr>
        <w:pStyle w:val="BodyText"/>
      </w:pPr>
      <w:r>
        <w:t>The</w:t>
      </w:r>
      <w:r w:rsidR="000064C2" w:rsidRPr="000064C2">
        <w:t xml:space="preserve"> </w:t>
      </w:r>
      <w:r w:rsidR="008D357E">
        <w:t>functions of the advisory board would be to:</w:t>
      </w:r>
    </w:p>
    <w:p w:rsidR="008E7DF7" w:rsidRDefault="008E7DF7" w:rsidP="00676BB9">
      <w:pPr>
        <w:pStyle w:val="BodyText"/>
        <w:numPr>
          <w:ilvl w:val="0"/>
          <w:numId w:val="26"/>
        </w:numPr>
      </w:pPr>
      <w:r>
        <w:t>lead the promotion and maintenance of NZSL</w:t>
      </w:r>
      <w:r w:rsidR="004E3C65">
        <w:t xml:space="preserve">, </w:t>
      </w:r>
      <w:r>
        <w:t>provide a national role and focal point of reference and support</w:t>
      </w:r>
      <w:r w:rsidR="004E3C65">
        <w:t>,</w:t>
      </w:r>
      <w:r>
        <w:t xml:space="preserve"> </w:t>
      </w:r>
      <w:r w:rsidR="00A63E59">
        <w:t>and</w:t>
      </w:r>
      <w:r w:rsidR="004E3C65">
        <w:t xml:space="preserve"> provide </w:t>
      </w:r>
      <w:r w:rsidR="00676BB9">
        <w:t>an expert voice on NZSL</w:t>
      </w:r>
    </w:p>
    <w:p w:rsidR="008E7DF7" w:rsidRDefault="008E7DF7" w:rsidP="008E7DF7">
      <w:pPr>
        <w:pStyle w:val="BodyText"/>
        <w:numPr>
          <w:ilvl w:val="0"/>
          <w:numId w:val="23"/>
        </w:numPr>
      </w:pPr>
      <w:r>
        <w:t>advise on measures to give effect to NZSL as an official language, including on matter</w:t>
      </w:r>
      <w:r w:rsidR="00C64A9A">
        <w:t xml:space="preserve">s relating to the Act and possible </w:t>
      </w:r>
      <w:r>
        <w:t xml:space="preserve">regulation </w:t>
      </w:r>
      <w:r w:rsidR="00C64A9A">
        <w:t xml:space="preserve">of the NZSL workforce through </w:t>
      </w:r>
      <w:r>
        <w:t>interpreting standards</w:t>
      </w:r>
    </w:p>
    <w:p w:rsidR="00E9358B" w:rsidRDefault="008E7DF7" w:rsidP="00E9358B">
      <w:pPr>
        <w:pStyle w:val="BodyText"/>
        <w:numPr>
          <w:ilvl w:val="0"/>
          <w:numId w:val="23"/>
        </w:numPr>
      </w:pPr>
      <w:r>
        <w:t xml:space="preserve">provide centralised, expert, high level and </w:t>
      </w:r>
      <w:r w:rsidR="00A63E59">
        <w:t>systematic</w:t>
      </w:r>
      <w:r>
        <w:t xml:space="preserve"> advice on NZSL across government departments including </w:t>
      </w:r>
      <w:r w:rsidR="00C64A9A">
        <w:t>developing an action plan and providing advice on the NZSL priorities</w:t>
      </w:r>
    </w:p>
    <w:p w:rsidR="00E9358B" w:rsidRDefault="00D64B51" w:rsidP="00E9358B">
      <w:pPr>
        <w:pStyle w:val="BodyText"/>
        <w:numPr>
          <w:ilvl w:val="0"/>
          <w:numId w:val="23"/>
        </w:numPr>
      </w:pPr>
      <w:r>
        <w:t xml:space="preserve">refer enquiries and </w:t>
      </w:r>
      <w:r w:rsidR="008E7DF7">
        <w:t>issues to</w:t>
      </w:r>
      <w:r>
        <w:t xml:space="preserve"> key stakeholders or</w:t>
      </w:r>
      <w:r w:rsidR="00B31A0C">
        <w:t xml:space="preserve"> g</w:t>
      </w:r>
      <w:r w:rsidR="008E7DF7">
        <w:t>overnment agencies</w:t>
      </w:r>
      <w:r>
        <w:t xml:space="preserve"> </w:t>
      </w:r>
      <w:r w:rsidR="008E7DF7">
        <w:t>as appropriate</w:t>
      </w:r>
    </w:p>
    <w:p w:rsidR="00E9358B" w:rsidRDefault="00E9358B" w:rsidP="00E9358B">
      <w:pPr>
        <w:pStyle w:val="BodyText"/>
        <w:numPr>
          <w:ilvl w:val="0"/>
          <w:numId w:val="23"/>
        </w:numPr>
      </w:pPr>
      <w:r>
        <w:t xml:space="preserve">build key stakeholder relationships across public, private, and community sectors to achieve joint goals in relation to NZSL </w:t>
      </w:r>
    </w:p>
    <w:p w:rsidR="008D357E" w:rsidRDefault="00E9358B" w:rsidP="008D357E">
      <w:pPr>
        <w:pStyle w:val="BodyText"/>
        <w:numPr>
          <w:ilvl w:val="0"/>
          <w:numId w:val="23"/>
        </w:numPr>
      </w:pPr>
      <w:r>
        <w:t xml:space="preserve">assist government agencies to identify work items to progress priorities for NZSL and provide advice to support implementation. </w:t>
      </w:r>
    </w:p>
    <w:p w:rsidR="00767CD5" w:rsidRPr="008D357E" w:rsidRDefault="00767CD5" w:rsidP="00767CD5">
      <w:pPr>
        <w:pStyle w:val="BodyText"/>
      </w:pPr>
      <w:r>
        <w:t xml:space="preserve">Draft terms of reference for the advisory board have been prepared and will be approved by the Minister for Disability Issues. </w:t>
      </w:r>
    </w:p>
    <w:p w:rsidR="000064C2" w:rsidRPr="008D357E" w:rsidRDefault="00C77351" w:rsidP="008D357E">
      <w:pPr>
        <w:pStyle w:val="BodyText"/>
        <w:numPr>
          <w:ilvl w:val="0"/>
          <w:numId w:val="0"/>
        </w:numPr>
        <w:ind w:left="493" w:hanging="493"/>
      </w:pPr>
      <w:r w:rsidRPr="008D357E">
        <w:rPr>
          <w:b/>
        </w:rPr>
        <w:t xml:space="preserve">Recommendation two - </w:t>
      </w:r>
      <w:r w:rsidR="00D22240" w:rsidRPr="008D357E">
        <w:rPr>
          <w:b/>
        </w:rPr>
        <w:t>Progress</w:t>
      </w:r>
      <w:r w:rsidR="000064C2" w:rsidRPr="008D357E">
        <w:rPr>
          <w:b/>
        </w:rPr>
        <w:t xml:space="preserve"> five initial</w:t>
      </w:r>
      <w:r w:rsidR="00D22240" w:rsidRPr="008D357E">
        <w:rPr>
          <w:b/>
        </w:rPr>
        <w:t xml:space="preserve"> priorities for New Zealand Sign Language</w:t>
      </w:r>
    </w:p>
    <w:p w:rsidR="00785D6A" w:rsidRDefault="00ED0E2E" w:rsidP="005E0B04">
      <w:pPr>
        <w:pStyle w:val="BodyText"/>
      </w:pPr>
      <w:r>
        <w:t>Once established the advisory board will develop a three year action p</w:t>
      </w:r>
      <w:r w:rsidR="006823C3">
        <w:t>lan</w:t>
      </w:r>
      <w:r>
        <w:t xml:space="preserve"> in collaboration with government agencies, the deaf community and other key stakeholders to progress </w:t>
      </w:r>
      <w:r w:rsidR="006823C3">
        <w:t xml:space="preserve">priorities for NZSL. </w:t>
      </w:r>
    </w:p>
    <w:p w:rsidR="006823C3" w:rsidRDefault="00A63E59" w:rsidP="005E0B04">
      <w:pPr>
        <w:pStyle w:val="BodyText"/>
      </w:pPr>
      <w:r>
        <w:t>Following the development of the three year</w:t>
      </w:r>
      <w:r w:rsidR="006823C3">
        <w:t xml:space="preserve"> action plan the advisory board would:</w:t>
      </w:r>
    </w:p>
    <w:p w:rsidR="006823C3" w:rsidRDefault="006823C3" w:rsidP="006823C3">
      <w:pPr>
        <w:pStyle w:val="BodyText"/>
        <w:numPr>
          <w:ilvl w:val="0"/>
          <w:numId w:val="29"/>
        </w:numPr>
      </w:pPr>
      <w:r>
        <w:t>monitor and report on key government activity towards the three year action plan, priority initiatives, and outcomes for deaf people and NZSL users</w:t>
      </w:r>
    </w:p>
    <w:p w:rsidR="006823C3" w:rsidRDefault="006823C3" w:rsidP="006823C3">
      <w:pPr>
        <w:pStyle w:val="BodyText"/>
        <w:numPr>
          <w:ilvl w:val="0"/>
          <w:numId w:val="29"/>
        </w:numPr>
      </w:pPr>
      <w:r>
        <w:t>report to the Minister for Disability Issues annually on matters relating to NZSL, and as required</w:t>
      </w:r>
    </w:p>
    <w:p w:rsidR="006823C3" w:rsidRDefault="006823C3" w:rsidP="006823C3">
      <w:pPr>
        <w:pStyle w:val="BodyText"/>
        <w:numPr>
          <w:ilvl w:val="0"/>
          <w:numId w:val="29"/>
        </w:numPr>
      </w:pPr>
      <w:r>
        <w:t xml:space="preserve">provide input into other key monitoring reports as appropriate, for example, </w:t>
      </w:r>
      <w:r w:rsidR="00A63E59">
        <w:t xml:space="preserve">in relation to </w:t>
      </w:r>
      <w:r>
        <w:t>the United Nations Convention on the Rights of Persons with Disabilities and the New Zealand Disability Strategy</w:t>
      </w:r>
      <w:r w:rsidR="00122447">
        <w:t>.</w:t>
      </w:r>
    </w:p>
    <w:p w:rsidR="007F02FB" w:rsidRDefault="00A63E59" w:rsidP="00506648">
      <w:pPr>
        <w:pStyle w:val="BodyText"/>
      </w:pPr>
      <w:r>
        <w:t>The M</w:t>
      </w:r>
      <w:r w:rsidR="006823C3">
        <w:t>inistries of Education, Social Development and Health whose core business includes services for NZSL users and any other government agency involved in the three year action plan, would report to the advisory board annually on progress against the three year action plan</w:t>
      </w:r>
      <w:r w:rsidR="00446746">
        <w:t xml:space="preserve">, but remain accountable to their Ministers. </w:t>
      </w:r>
    </w:p>
    <w:p w:rsidR="006823C3" w:rsidRPr="00785D6A" w:rsidRDefault="006823C3" w:rsidP="006823C3">
      <w:pPr>
        <w:pStyle w:val="BodyText"/>
      </w:pPr>
      <w:r>
        <w:t>The expert advisory group identified five initial priorities</w:t>
      </w:r>
      <w:r w:rsidR="00B91D84">
        <w:t xml:space="preserve"> for the action plan</w:t>
      </w:r>
      <w:r>
        <w:t xml:space="preserve"> which</w:t>
      </w:r>
      <w:r w:rsidR="00B91D84">
        <w:t xml:space="preserve"> are:</w:t>
      </w:r>
    </w:p>
    <w:p w:rsidR="004E3C65" w:rsidRDefault="004E3C65" w:rsidP="004E3C65"/>
    <w:p w:rsidR="000064C2" w:rsidRPr="008D357E" w:rsidRDefault="00122447" w:rsidP="004E3C65">
      <w:pPr>
        <w:ind w:firstLine="493"/>
        <w:rPr>
          <w:i/>
        </w:rPr>
      </w:pPr>
      <w:r>
        <w:rPr>
          <w:i/>
        </w:rPr>
        <w:t>I</w:t>
      </w:r>
      <w:r w:rsidR="00FC23D0" w:rsidRPr="008D357E">
        <w:rPr>
          <w:i/>
        </w:rPr>
        <w:t xml:space="preserve">nclude </w:t>
      </w:r>
      <w:r w:rsidR="000064C2" w:rsidRPr="008D357E">
        <w:rPr>
          <w:i/>
        </w:rPr>
        <w:t>New Zealand Sign Language in education</w:t>
      </w:r>
    </w:p>
    <w:p w:rsidR="00ED0E2E" w:rsidRDefault="00ED0E2E" w:rsidP="00F8642D">
      <w:pPr>
        <w:pStyle w:val="BodyText"/>
      </w:pPr>
      <w:r w:rsidRPr="00F8642D">
        <w:t xml:space="preserve">Poor </w:t>
      </w:r>
      <w:r w:rsidR="00446746">
        <w:t xml:space="preserve">acquisition and </w:t>
      </w:r>
      <w:r w:rsidRPr="00F8642D">
        <w:t>access to NZSL early in life</w:t>
      </w:r>
      <w:r w:rsidR="00446746">
        <w:t>, both in the home and in formal education settings</w:t>
      </w:r>
      <w:r w:rsidRPr="00F8642D">
        <w:t xml:space="preserve"> negatively impacts on educational a</w:t>
      </w:r>
      <w:r>
        <w:t>chievement</w:t>
      </w:r>
      <w:r w:rsidRPr="00F8642D">
        <w:t>. This limits employment opportunities, access to public information and services and participation in society.</w:t>
      </w:r>
    </w:p>
    <w:p w:rsidR="0008125A" w:rsidRDefault="00ED0E2E" w:rsidP="00EE258A">
      <w:pPr>
        <w:pStyle w:val="BodyText"/>
      </w:pPr>
      <w:r>
        <w:t>The Ministry of Education has already developed a work programme and priorities for NZSL in education so that immediate action can be taken to address the needs of</w:t>
      </w:r>
      <w:r w:rsidR="00446746">
        <w:t xml:space="preserve"> families with newly identified</w:t>
      </w:r>
      <w:r>
        <w:t xml:space="preserve"> deaf children and NZSL users entering into the education system. The advisory board would work with the Ministry of Education to ensure consistency with the NZSL action plan and provide advice on the strategic direction for NZSL. </w:t>
      </w:r>
    </w:p>
    <w:p w:rsidR="005E0B04" w:rsidRPr="008D357E" w:rsidRDefault="00122447" w:rsidP="005E0B04">
      <w:pPr>
        <w:pStyle w:val="BodyText"/>
        <w:numPr>
          <w:ilvl w:val="0"/>
          <w:numId w:val="0"/>
        </w:numPr>
        <w:ind w:left="493"/>
        <w:rPr>
          <w:i/>
        </w:rPr>
      </w:pPr>
      <w:r>
        <w:rPr>
          <w:i/>
        </w:rPr>
        <w:t>P</w:t>
      </w:r>
      <w:r w:rsidR="00FC23D0" w:rsidRPr="008D357E">
        <w:rPr>
          <w:i/>
        </w:rPr>
        <w:t xml:space="preserve">romote </w:t>
      </w:r>
      <w:r w:rsidR="005E0B04" w:rsidRPr="008D357E">
        <w:rPr>
          <w:i/>
        </w:rPr>
        <w:t>New Zealand Sign Language in the home</w:t>
      </w:r>
    </w:p>
    <w:p w:rsidR="005E0B04" w:rsidRDefault="00446746" w:rsidP="005E0B04">
      <w:pPr>
        <w:pStyle w:val="BodyText"/>
      </w:pPr>
      <w:r>
        <w:t xml:space="preserve">The majority of deaf children are born into hearing families who have no prior experience of childhood deafness. </w:t>
      </w:r>
      <w:r w:rsidR="006608FD">
        <w:t>Deaf children are often reliant on NZSL to communicate and their families need</w:t>
      </w:r>
      <w:r w:rsidR="00C64A9A">
        <w:t xml:space="preserve"> </w:t>
      </w:r>
      <w:r w:rsidR="00A63E59">
        <w:t xml:space="preserve">to </w:t>
      </w:r>
      <w:r w:rsidR="00CD7DDB">
        <w:t xml:space="preserve">access </w:t>
      </w:r>
      <w:r>
        <w:t>NZSL training</w:t>
      </w:r>
      <w:r w:rsidR="006608FD">
        <w:t xml:space="preserve">. Actions to support these families will make it easier to create a natural learning environment for children to acquire NZSL.  </w:t>
      </w:r>
    </w:p>
    <w:p w:rsidR="00446746" w:rsidRDefault="00446746" w:rsidP="005E0B04">
      <w:pPr>
        <w:pStyle w:val="BodyText"/>
      </w:pPr>
      <w:r>
        <w:t>The Ministry of Education is implementing a significant new service to address this need, recognising that early childhood education begins in the home and that development of a strong first language is an essential foundation for future learning.</w:t>
      </w:r>
    </w:p>
    <w:p w:rsidR="005E0B04" w:rsidRPr="008D357E" w:rsidRDefault="00122447" w:rsidP="005E0B04">
      <w:pPr>
        <w:pStyle w:val="BodyText"/>
        <w:numPr>
          <w:ilvl w:val="0"/>
          <w:numId w:val="0"/>
        </w:numPr>
        <w:ind w:left="493"/>
        <w:rPr>
          <w:i/>
        </w:rPr>
      </w:pPr>
      <w:r>
        <w:rPr>
          <w:i/>
        </w:rPr>
        <w:t>P</w:t>
      </w:r>
      <w:r w:rsidR="00FC23D0" w:rsidRPr="008D357E">
        <w:rPr>
          <w:i/>
        </w:rPr>
        <w:t>rovide a</w:t>
      </w:r>
      <w:r w:rsidR="005E0B04" w:rsidRPr="008D357E">
        <w:rPr>
          <w:i/>
        </w:rPr>
        <w:t>ccess to information and services in New Zealand Sign Language</w:t>
      </w:r>
    </w:p>
    <w:p w:rsidR="005E0B04" w:rsidRDefault="005E0B04" w:rsidP="005E0B04">
      <w:pPr>
        <w:pStyle w:val="BodyText"/>
      </w:pPr>
      <w:r>
        <w:t>Access to information and communication for</w:t>
      </w:r>
      <w:r w:rsidR="00446746">
        <w:t xml:space="preserve"> many</w:t>
      </w:r>
      <w:r>
        <w:t xml:space="preserve"> deaf people is dependent on interpreters and having information translated into NZSL. Deaf people consistently face barriers when trying to access government information and services</w:t>
      </w:r>
      <w:r w:rsidR="006961B7">
        <w:t xml:space="preserve"> as there is limited</w:t>
      </w:r>
      <w:r w:rsidR="00C64A9A">
        <w:t xml:space="preserve"> public</w:t>
      </w:r>
      <w:r w:rsidR="006961B7">
        <w:t xml:space="preserve"> information available in NZSL and inconsistent use of interpreters</w:t>
      </w:r>
      <w:r>
        <w:t>.</w:t>
      </w:r>
      <w:r w:rsidR="006961B7">
        <w:t xml:space="preserve"> Further </w:t>
      </w:r>
      <w:r>
        <w:t>work is required to ensure that government agencies</w:t>
      </w:r>
      <w:r w:rsidR="004E3C65">
        <w:t>’</w:t>
      </w:r>
      <w:r>
        <w:t xml:space="preserve"> funding and use of interpreters is adequate and that critical government information is available in NZSL. </w:t>
      </w:r>
    </w:p>
    <w:p w:rsidR="005E0B04" w:rsidRPr="008D357E" w:rsidRDefault="00122447" w:rsidP="005E0B04">
      <w:pPr>
        <w:pStyle w:val="BodyText"/>
        <w:numPr>
          <w:ilvl w:val="0"/>
          <w:numId w:val="0"/>
        </w:numPr>
        <w:ind w:left="493"/>
        <w:rPr>
          <w:i/>
        </w:rPr>
      </w:pPr>
      <w:r>
        <w:rPr>
          <w:i/>
        </w:rPr>
        <w:t>P</w:t>
      </w:r>
      <w:r w:rsidR="00FC23D0" w:rsidRPr="008D357E">
        <w:rPr>
          <w:i/>
        </w:rPr>
        <w:t>rovide a</w:t>
      </w:r>
      <w:r w:rsidR="005E0B04" w:rsidRPr="008D357E">
        <w:rPr>
          <w:i/>
        </w:rPr>
        <w:t>ccess for deaf M</w:t>
      </w:r>
      <w:r w:rsidR="005E0B04" w:rsidRPr="008D357E">
        <w:rPr>
          <w:rFonts w:ascii="Arial" w:hAnsi="Arial" w:cs="Arial"/>
          <w:i/>
        </w:rPr>
        <w:t>ā</w:t>
      </w:r>
      <w:r w:rsidR="005E0B04" w:rsidRPr="008D357E">
        <w:rPr>
          <w:i/>
        </w:rPr>
        <w:t xml:space="preserve">ori </w:t>
      </w:r>
    </w:p>
    <w:p w:rsidR="006608FD" w:rsidRDefault="00A63E59" w:rsidP="006608FD">
      <w:pPr>
        <w:pStyle w:val="BodyText"/>
      </w:pPr>
      <w:r>
        <w:t>Many d</w:t>
      </w:r>
      <w:r w:rsidR="005E0B04">
        <w:t>eaf M</w:t>
      </w:r>
      <w:r w:rsidR="005E0B04">
        <w:rPr>
          <w:rFonts w:ascii="Arial" w:hAnsi="Arial" w:cs="Arial"/>
        </w:rPr>
        <w:t>ā</w:t>
      </w:r>
      <w:r w:rsidR="005E0B04">
        <w:t>ori find it difficult to engage</w:t>
      </w:r>
      <w:r>
        <w:t xml:space="preserve"> with</w:t>
      </w:r>
      <w:r w:rsidR="005E0B04">
        <w:t xml:space="preserve"> and establish a relationship with M</w:t>
      </w:r>
      <w:r w:rsidR="005E0B04">
        <w:rPr>
          <w:rFonts w:ascii="Arial" w:hAnsi="Arial" w:cs="Arial"/>
        </w:rPr>
        <w:t>ā</w:t>
      </w:r>
      <w:r w:rsidR="005F5C93">
        <w:t>ori culture, Te R</w:t>
      </w:r>
      <w:r w:rsidR="005E0B04">
        <w:t>eo M</w:t>
      </w:r>
      <w:r w:rsidR="005E0B04">
        <w:rPr>
          <w:rFonts w:ascii="Arial" w:hAnsi="Arial" w:cs="Arial"/>
        </w:rPr>
        <w:t>ā</w:t>
      </w:r>
      <w:r w:rsidR="005E0B04">
        <w:t>ori and tikanga M</w:t>
      </w:r>
      <w:r w:rsidR="005E0B04">
        <w:rPr>
          <w:rFonts w:ascii="Arial" w:hAnsi="Arial" w:cs="Arial"/>
        </w:rPr>
        <w:t>ā</w:t>
      </w:r>
      <w:r w:rsidR="005E0B04">
        <w:t>ori due to the need to a</w:t>
      </w:r>
      <w:r w:rsidR="006608FD">
        <w:t>ccess three different languages (</w:t>
      </w:r>
      <w:r w:rsidR="005E0B04">
        <w:t>English, M</w:t>
      </w:r>
      <w:r w:rsidR="005E0B04">
        <w:rPr>
          <w:rFonts w:ascii="Arial" w:hAnsi="Arial" w:cs="Arial"/>
        </w:rPr>
        <w:t>ā</w:t>
      </w:r>
      <w:r w:rsidR="005E0B04">
        <w:t>ori and NZSL</w:t>
      </w:r>
      <w:r w:rsidR="006608FD">
        <w:t>)</w:t>
      </w:r>
      <w:r w:rsidR="005E0B04">
        <w:t>.</w:t>
      </w:r>
      <w:r w:rsidR="006961B7">
        <w:rPr>
          <w:rStyle w:val="FootnoteReference"/>
        </w:rPr>
        <w:footnoteReference w:id="3"/>
      </w:r>
      <w:r w:rsidR="005E0B04">
        <w:t xml:space="preserve">  This creates barriers for deaf M</w:t>
      </w:r>
      <w:r w:rsidR="005E0B04">
        <w:rPr>
          <w:rFonts w:ascii="Arial" w:hAnsi="Arial" w:cs="Arial"/>
        </w:rPr>
        <w:t>ā</w:t>
      </w:r>
      <w:r w:rsidR="005E0B04">
        <w:t>ori at the wh</w:t>
      </w:r>
      <w:r w:rsidR="005E0B04">
        <w:rPr>
          <w:rFonts w:ascii="Arial" w:hAnsi="Arial" w:cs="Arial"/>
        </w:rPr>
        <w:t>ā</w:t>
      </w:r>
      <w:r w:rsidR="005E0B04">
        <w:t>nau, hap</w:t>
      </w:r>
      <w:r w:rsidR="005E0B04">
        <w:rPr>
          <w:rFonts w:ascii="Arial" w:hAnsi="Arial" w:cs="Arial"/>
        </w:rPr>
        <w:t>ū</w:t>
      </w:r>
      <w:r w:rsidR="005E0B04">
        <w:t xml:space="preserve"> and iwi level. There</w:t>
      </w:r>
      <w:r w:rsidR="00C64A9A">
        <w:t xml:space="preserve"> are</w:t>
      </w:r>
      <w:r w:rsidR="005E0B04">
        <w:t xml:space="preserve"> currently a very limited number of qualified interpreters who are competent in NZSL, Te Reo M</w:t>
      </w:r>
      <w:r w:rsidR="005E0B04">
        <w:rPr>
          <w:rFonts w:ascii="Arial" w:hAnsi="Arial" w:cs="Arial"/>
        </w:rPr>
        <w:t>ā</w:t>
      </w:r>
      <w:r w:rsidR="005E0B04">
        <w:t xml:space="preserve">ori, and English. Action is needed to increase </w:t>
      </w:r>
      <w:r w:rsidR="00C64A9A">
        <w:t xml:space="preserve">the number of interpreters </w:t>
      </w:r>
      <w:r w:rsidR="0067415D">
        <w:t xml:space="preserve">who are fluent in NZSL and </w:t>
      </w:r>
      <w:r w:rsidR="005E0B04">
        <w:t>Te Reo M</w:t>
      </w:r>
      <w:r w:rsidR="005E0B04">
        <w:rPr>
          <w:rFonts w:ascii="Arial" w:hAnsi="Arial" w:cs="Arial"/>
        </w:rPr>
        <w:t>ā</w:t>
      </w:r>
      <w:r w:rsidR="005E0B04">
        <w:t xml:space="preserve">ori. </w:t>
      </w:r>
    </w:p>
    <w:p w:rsidR="00F81990" w:rsidRDefault="00F81990" w:rsidP="00F81990">
      <w:pPr>
        <w:pStyle w:val="BodyText"/>
        <w:numPr>
          <w:ilvl w:val="0"/>
          <w:numId w:val="0"/>
        </w:numPr>
        <w:ind w:left="494"/>
      </w:pPr>
    </w:p>
    <w:p w:rsidR="005E0B04" w:rsidRPr="008D357E" w:rsidRDefault="00767CD5" w:rsidP="00767CD5">
      <w:pPr>
        <w:pStyle w:val="BodyText"/>
        <w:numPr>
          <w:ilvl w:val="0"/>
          <w:numId w:val="0"/>
        </w:numPr>
        <w:ind w:left="493"/>
        <w:rPr>
          <w:i/>
        </w:rPr>
      </w:pPr>
      <w:r>
        <w:rPr>
          <w:i/>
        </w:rPr>
        <w:t>D</w:t>
      </w:r>
      <w:r w:rsidR="00FC23D0" w:rsidRPr="008D357E">
        <w:rPr>
          <w:i/>
        </w:rPr>
        <w:t xml:space="preserve">evelop </w:t>
      </w:r>
      <w:r w:rsidR="006608FD" w:rsidRPr="008D357E">
        <w:rPr>
          <w:i/>
        </w:rPr>
        <w:t>i</w:t>
      </w:r>
      <w:r w:rsidR="004E3C65" w:rsidRPr="008D357E">
        <w:rPr>
          <w:i/>
        </w:rPr>
        <w:t>nterpreter s</w:t>
      </w:r>
      <w:r w:rsidR="005E0B04" w:rsidRPr="008D357E">
        <w:rPr>
          <w:i/>
        </w:rPr>
        <w:t>tandards</w:t>
      </w:r>
    </w:p>
    <w:p w:rsidR="006608FD" w:rsidRDefault="005E0B04" w:rsidP="00767CD5">
      <w:pPr>
        <w:pStyle w:val="BodyText"/>
        <w:ind w:left="493" w:hanging="493"/>
      </w:pPr>
      <w:r>
        <w:t>There are currently no regulated interpreter standards outside of court settings</w:t>
      </w:r>
      <w:r w:rsidR="005F5C93" w:rsidRPr="005F5C93">
        <w:t xml:space="preserve"> </w:t>
      </w:r>
      <w:r w:rsidR="005F5C93">
        <w:t>and actions to improve access to appropriately qualified interpreters are needed. Limited regulation of interpreter standards</w:t>
      </w:r>
      <w:r>
        <w:t xml:space="preserve"> has serious implications</w:t>
      </w:r>
      <w:r w:rsidR="004E3C65">
        <w:t xml:space="preserve">, for </w:t>
      </w:r>
      <w:r w:rsidR="006A712D">
        <w:t xml:space="preserve">example poor communication as a result of poor interpreting services in health or mental health settings can result in those services failing to meet deaf people’s needs. </w:t>
      </w:r>
    </w:p>
    <w:p w:rsidR="00D22240" w:rsidRPr="004E3C65" w:rsidRDefault="00F87C2E" w:rsidP="00F87C2E">
      <w:pPr>
        <w:pStyle w:val="Heading2"/>
      </w:pPr>
      <w:r>
        <w:t xml:space="preserve">Recommendation three - </w:t>
      </w:r>
      <w:r w:rsidR="00D22240" w:rsidRPr="004E3C65">
        <w:t>Establish a New Zealand Sign Language Fund</w:t>
      </w:r>
    </w:p>
    <w:p w:rsidR="005E0B04" w:rsidRDefault="005E0B04" w:rsidP="006C6265">
      <w:pPr>
        <w:pStyle w:val="BodyText"/>
      </w:pPr>
      <w:r>
        <w:t>The expert a</w:t>
      </w:r>
      <w:r w:rsidR="005F5C93">
        <w:t xml:space="preserve">dvisory group recommended that </w:t>
      </w:r>
      <w:r w:rsidR="000064C2">
        <w:t>a</w:t>
      </w:r>
      <w:r w:rsidR="00802684">
        <w:t xml:space="preserve"> NZSL Fund </w:t>
      </w:r>
      <w:r w:rsidR="00ED0E2E">
        <w:t xml:space="preserve">is established </w:t>
      </w:r>
      <w:r w:rsidR="00802684">
        <w:t>to comple</w:t>
      </w:r>
      <w:r>
        <w:t>ment current government activity and support community initiatives. The fu</w:t>
      </w:r>
      <w:r w:rsidR="00ED0E2E">
        <w:t>nd would increase NZSL</w:t>
      </w:r>
      <w:r w:rsidR="005F5C93">
        <w:t xml:space="preserve"> use and </w:t>
      </w:r>
      <w:r>
        <w:t>proficiency</w:t>
      </w:r>
      <w:r w:rsidR="005F5C93">
        <w:t>,</w:t>
      </w:r>
      <w:r>
        <w:t xml:space="preserve"> and </w:t>
      </w:r>
      <w:r w:rsidR="005F5C93">
        <w:t>support the</w:t>
      </w:r>
      <w:r>
        <w:t xml:space="preserve"> ability of </w:t>
      </w:r>
      <w:r w:rsidR="00B31A0C">
        <w:t xml:space="preserve">the </w:t>
      </w:r>
      <w:r>
        <w:t xml:space="preserve">deaf community to promote and maintain </w:t>
      </w:r>
      <w:r w:rsidR="00ED0E2E">
        <w:t>NZSL.</w:t>
      </w:r>
      <w:r w:rsidR="00A8182D">
        <w:t xml:space="preserve"> </w:t>
      </w:r>
    </w:p>
    <w:p w:rsidR="002B7A69" w:rsidRDefault="005E0B04" w:rsidP="002B7A69">
      <w:pPr>
        <w:pStyle w:val="BodyText"/>
      </w:pPr>
      <w:r>
        <w:t>Funding would be allocated for projects with the specific purpose of promoting and maintaining NZSL</w:t>
      </w:r>
      <w:r w:rsidR="00016F57">
        <w:t xml:space="preserve">. </w:t>
      </w:r>
      <w:r w:rsidR="00506648" w:rsidRPr="002F5611">
        <w:t>The expert advisory group identified possible initiatives such as</w:t>
      </w:r>
      <w:r w:rsidR="00A8182D" w:rsidRPr="002F5611">
        <w:t xml:space="preserve"> </w:t>
      </w:r>
      <w:r w:rsidR="00506648" w:rsidRPr="002F5611">
        <w:t>updating</w:t>
      </w:r>
      <w:r w:rsidR="00A8182D" w:rsidRPr="002F5611">
        <w:t xml:space="preserve"> and maintain</w:t>
      </w:r>
      <w:r w:rsidR="00506648" w:rsidRPr="002F5611">
        <w:t>ing</w:t>
      </w:r>
      <w:r w:rsidR="00A8182D" w:rsidRPr="002F5611">
        <w:t xml:space="preserve"> the NZSL Dictionary, support</w:t>
      </w:r>
      <w:r w:rsidR="00506648" w:rsidRPr="002F5611">
        <w:t>ing</w:t>
      </w:r>
      <w:r w:rsidR="00A8182D" w:rsidRPr="002F5611">
        <w:t xml:space="preserve"> NZSL Week initiatives or for establishing NZSL language nests.</w:t>
      </w:r>
      <w:r w:rsidR="00EE258A" w:rsidRPr="002F5611">
        <w:t xml:space="preserve"> </w:t>
      </w:r>
    </w:p>
    <w:p w:rsidR="002B7A69" w:rsidRDefault="002B7A69" w:rsidP="002B7A69">
      <w:pPr>
        <w:pStyle w:val="BodyText"/>
      </w:pPr>
      <w:r w:rsidRPr="002B7A69">
        <w:t>If you agree to the establishment of this fund, I propose that the Minister for Disability Issues approve annually the policy and criteria for funding initiatives. Proposals will be sought and considered by the advisory board and they will provide recommendations on which proposals to fund. The Office for Disability Issues will make final decisions on the allocation of available funds.</w:t>
      </w:r>
    </w:p>
    <w:p w:rsidR="000A6DE3" w:rsidRPr="002B7A69" w:rsidRDefault="005B2F62" w:rsidP="002B7A69">
      <w:pPr>
        <w:pStyle w:val="BodyText"/>
        <w:numPr>
          <w:ilvl w:val="0"/>
          <w:numId w:val="0"/>
        </w:numPr>
      </w:pPr>
      <w:r w:rsidRPr="002B7A69">
        <w:rPr>
          <w:b/>
          <w:sz w:val="24"/>
        </w:rPr>
        <w:t>Appointment of members</w:t>
      </w:r>
      <w:r w:rsidR="00C33D8D" w:rsidRPr="002B7A69">
        <w:rPr>
          <w:b/>
          <w:sz w:val="24"/>
        </w:rPr>
        <w:t xml:space="preserve"> to the Board</w:t>
      </w:r>
    </w:p>
    <w:p w:rsidR="00767CD5" w:rsidRDefault="00897922" w:rsidP="00B02BCD">
      <w:pPr>
        <w:pStyle w:val="BodyText"/>
      </w:pPr>
      <w:r>
        <w:t xml:space="preserve">The </w:t>
      </w:r>
      <w:r w:rsidR="00767CD5">
        <w:t>Office for Disability</w:t>
      </w:r>
      <w:r>
        <w:t xml:space="preserve"> will seek nominations</w:t>
      </w:r>
      <w:r w:rsidR="00726132">
        <w:t xml:space="preserve"> for the advisory board</w:t>
      </w:r>
      <w:r>
        <w:t>.</w:t>
      </w:r>
      <w:r w:rsidR="00950461">
        <w:t xml:space="preserve"> </w:t>
      </w:r>
      <w:r w:rsidR="00441409">
        <w:t>A</w:t>
      </w:r>
      <w:r w:rsidR="000A6DE3">
        <w:t xml:space="preserve"> selection panel with representatives from the Mi</w:t>
      </w:r>
      <w:r w:rsidR="00B31A0C">
        <w:t xml:space="preserve">nistries of Social Development and </w:t>
      </w:r>
      <w:r w:rsidR="000A6DE3">
        <w:t>Education, De</w:t>
      </w:r>
      <w:r w:rsidR="00950461">
        <w:t>af Aotearoa New Zealand and an individual from the deaf community</w:t>
      </w:r>
      <w:r w:rsidR="000A6DE3">
        <w:t xml:space="preserve"> </w:t>
      </w:r>
      <w:r w:rsidR="00441409">
        <w:t xml:space="preserve">would provide advice to the Minister for Disability Issues. </w:t>
      </w:r>
    </w:p>
    <w:p w:rsidR="000A6DE3" w:rsidRDefault="00441409" w:rsidP="00B02BCD">
      <w:pPr>
        <w:pStyle w:val="BodyText"/>
      </w:pPr>
      <w:r>
        <w:t xml:space="preserve">The Minister for Disability Issues would </w:t>
      </w:r>
      <w:r w:rsidR="00897922">
        <w:t>take the appointments to the Appointments an</w:t>
      </w:r>
      <w:r w:rsidR="00584B78">
        <w:t>d Honour</w:t>
      </w:r>
      <w:r w:rsidR="00A63E59">
        <w:t>s</w:t>
      </w:r>
      <w:r w:rsidR="00584B78">
        <w:t xml:space="preserve"> Committee </w:t>
      </w:r>
      <w:r w:rsidR="002F5611">
        <w:t xml:space="preserve">in </w:t>
      </w:r>
      <w:r w:rsidR="00584B78">
        <w:t xml:space="preserve">December </w:t>
      </w:r>
      <w:r w:rsidR="002F5611">
        <w:t>2014.</w:t>
      </w:r>
      <w:r w:rsidR="00584B78">
        <w:t xml:space="preserve"> </w:t>
      </w:r>
    </w:p>
    <w:p w:rsidR="00890C34" w:rsidRPr="00890C34" w:rsidRDefault="00890C34" w:rsidP="00325632">
      <w:pPr>
        <w:pStyle w:val="Heading1"/>
      </w:pPr>
      <w:r w:rsidRPr="00890C34">
        <w:t>Review</w:t>
      </w:r>
    </w:p>
    <w:p w:rsidR="000A6DE3" w:rsidRPr="00325632" w:rsidRDefault="00890C34" w:rsidP="00B02BCD">
      <w:pPr>
        <w:pStyle w:val="BodyText"/>
      </w:pPr>
      <w:r w:rsidRPr="00890C34">
        <w:t xml:space="preserve">The Ministry of Social Development </w:t>
      </w:r>
      <w:r>
        <w:t xml:space="preserve">would </w:t>
      </w:r>
      <w:r w:rsidRPr="00890C34">
        <w:t xml:space="preserve">complete a review of the effectiveness of the advisory board </w:t>
      </w:r>
      <w:r w:rsidR="00767CD5">
        <w:t>by the end of</w:t>
      </w:r>
      <w:r w:rsidR="00584B78">
        <w:t xml:space="preserve"> 2017</w:t>
      </w:r>
      <w:r w:rsidRPr="00890C34">
        <w:t xml:space="preserve"> to assess its </w:t>
      </w:r>
      <w:r w:rsidR="006A712D">
        <w:t>contribution on promoting and maintaining NZSL</w:t>
      </w:r>
      <w:r w:rsidRPr="00890C34">
        <w:t>.</w:t>
      </w:r>
      <w:r w:rsidR="008D357E">
        <w:t xml:space="preserve"> </w:t>
      </w:r>
    </w:p>
    <w:p w:rsidR="00D96320" w:rsidRPr="00B02BCD" w:rsidRDefault="00D96320" w:rsidP="00325632">
      <w:pPr>
        <w:pStyle w:val="Heading1"/>
      </w:pPr>
      <w:r w:rsidRPr="00B02BCD">
        <w:t>Consultation</w:t>
      </w:r>
    </w:p>
    <w:p w:rsidR="00686374" w:rsidRDefault="00686374" w:rsidP="00785D6A">
      <w:pPr>
        <w:pStyle w:val="BodyText"/>
      </w:pPr>
      <w:r>
        <w:t xml:space="preserve">The following government agencies have been consulted in the preparation of this paper and agreed with its recommendations: Ministry of Education, Ministry of Health, Ministry of Justice, </w:t>
      </w:r>
      <w:r w:rsidR="003B0777">
        <w:t xml:space="preserve">New Zealand </w:t>
      </w:r>
      <w:r>
        <w:t xml:space="preserve">Treasury, Ministry of </w:t>
      </w:r>
      <w:r w:rsidR="00584B78">
        <w:t>Culture and Heritage</w:t>
      </w:r>
      <w:r w:rsidR="003B0777">
        <w:t>, Ministry of Pacific Island Affairs, Te Puni Kokiri and the State Services Commission</w:t>
      </w:r>
      <w:r>
        <w:t xml:space="preserve">. The Department of Prime Minister </w:t>
      </w:r>
      <w:r w:rsidR="00B31A0C">
        <w:t xml:space="preserve">and </w:t>
      </w:r>
      <w:r>
        <w:t>Cabinet has been informed.</w:t>
      </w:r>
    </w:p>
    <w:p w:rsidR="00686374" w:rsidRDefault="00686374" w:rsidP="00686374">
      <w:pPr>
        <w:pStyle w:val="BodyText"/>
      </w:pPr>
      <w:r>
        <w:t>The expert advisory group was consulted in the preparation of this paper and agreed that it was consistent with the advice that the expert advisory group provide</w:t>
      </w:r>
      <w:r w:rsidR="008469EF">
        <w:t>d to the Ministerial Committee on</w:t>
      </w:r>
      <w:r>
        <w:t xml:space="preserve"> Disability Issues.</w:t>
      </w:r>
    </w:p>
    <w:p w:rsidR="008F1140" w:rsidRDefault="008F1140">
      <w:pPr>
        <w:pStyle w:val="Heading1"/>
      </w:pPr>
      <w:r>
        <w:t>Financial implications</w:t>
      </w:r>
    </w:p>
    <w:p w:rsidR="005B7B30" w:rsidRPr="002F5611" w:rsidRDefault="002F5611" w:rsidP="005B7B30">
      <w:pPr>
        <w:pStyle w:val="BodyText"/>
      </w:pPr>
      <w:r>
        <w:t xml:space="preserve">Funding has been allocated through Budget 2014 for the proposals in this paper. </w:t>
      </w:r>
    </w:p>
    <w:p w:rsidR="008F1140" w:rsidRDefault="008F1140">
      <w:pPr>
        <w:pStyle w:val="Heading1"/>
      </w:pPr>
      <w:r>
        <w:t>Human rights implications</w:t>
      </w:r>
    </w:p>
    <w:p w:rsidR="00357075" w:rsidRPr="00357075" w:rsidRDefault="00686374" w:rsidP="00785D6A">
      <w:pPr>
        <w:pStyle w:val="BodyText"/>
      </w:pPr>
      <w:r w:rsidRPr="00686374">
        <w:t>The establishment of an advisory board for the promotion and maintenance of NZSL will support the rights of people for whom NZSL is their primary or only form of communication. It will progress action</w:t>
      </w:r>
      <w:r w:rsidR="008469EF">
        <w:t>s</w:t>
      </w:r>
      <w:r w:rsidRPr="00686374">
        <w:t xml:space="preserve"> to address the issues identified by the Human Rights Commission. </w:t>
      </w:r>
    </w:p>
    <w:p w:rsidR="008F1140" w:rsidRDefault="00686374">
      <w:pPr>
        <w:pStyle w:val="Heading1"/>
      </w:pPr>
      <w:r>
        <w:t>Legislative implications and r</w:t>
      </w:r>
      <w:r w:rsidR="008F1140">
        <w:t>egulatory impact and compliance cost statement</w:t>
      </w:r>
    </w:p>
    <w:p w:rsidR="00357075" w:rsidRPr="00357075" w:rsidRDefault="00686374" w:rsidP="00785D6A">
      <w:pPr>
        <w:pStyle w:val="BodyText"/>
      </w:pPr>
      <w:r w:rsidRPr="00686374">
        <w:t>No legislative implications, regulatory impacts or compliance costs for business arise from this paper.</w:t>
      </w:r>
    </w:p>
    <w:p w:rsidR="008F1140" w:rsidRDefault="008F1140" w:rsidP="00325632">
      <w:pPr>
        <w:pStyle w:val="Heading1"/>
      </w:pPr>
      <w:r>
        <w:t xml:space="preserve">Gender </w:t>
      </w:r>
      <w:r w:rsidRPr="00325632">
        <w:t>implications</w:t>
      </w:r>
    </w:p>
    <w:p w:rsidR="00166967" w:rsidRDefault="00166967" w:rsidP="000C7617">
      <w:pPr>
        <w:pStyle w:val="BodyText"/>
      </w:pPr>
      <w:r>
        <w:t xml:space="preserve">There are no gender implications. </w:t>
      </w:r>
    </w:p>
    <w:p w:rsidR="008F1140" w:rsidRPr="00166967" w:rsidRDefault="008F1140" w:rsidP="00325632">
      <w:pPr>
        <w:pStyle w:val="Heading1"/>
      </w:pPr>
      <w:r w:rsidRPr="00166967">
        <w:t>Disability perspective</w:t>
      </w:r>
    </w:p>
    <w:p w:rsidR="007F02FB" w:rsidRDefault="00686374" w:rsidP="00325632">
      <w:pPr>
        <w:pStyle w:val="BodyText"/>
      </w:pPr>
      <w:r w:rsidRPr="00686374">
        <w:t xml:space="preserve">The establishment of an advisory board to promote and maintain NZSL would be consistent with the New Zealand Disability Strategy </w:t>
      </w:r>
      <w:r w:rsidR="00961427">
        <w:t>because it would support an</w:t>
      </w:r>
      <w:r w:rsidRPr="00686374">
        <w:t xml:space="preserve"> inclusive and non-disabling society.</w:t>
      </w:r>
      <w:r w:rsidR="00D64B51" w:rsidRPr="00686374">
        <w:t xml:space="preserve">  </w:t>
      </w:r>
      <w:r w:rsidR="008469EF">
        <w:t>It</w:t>
      </w:r>
      <w:r w:rsidR="00961427">
        <w:t xml:space="preserve"> also</w:t>
      </w:r>
      <w:r w:rsidR="008469EF">
        <w:t xml:space="preserve"> reflects the commitments of G</w:t>
      </w:r>
      <w:r w:rsidR="00D64B51" w:rsidRPr="00686374">
        <w:t>overnment to the</w:t>
      </w:r>
      <w:r w:rsidR="008B091D">
        <w:t xml:space="preserve"> United Nations</w:t>
      </w:r>
      <w:r w:rsidR="00D64B51" w:rsidRPr="00686374">
        <w:t xml:space="preserve"> Convention on the Rights of Persons with Disabilities and in particular it addresses articles 9, 21, 24, and 30.</w:t>
      </w:r>
      <w:r w:rsidR="008469EF">
        <w:t xml:space="preserve"> The process for developing this advice is also cons</w:t>
      </w:r>
      <w:r w:rsidR="00A63E59">
        <w:t>istent with article 4.3 of the C</w:t>
      </w:r>
      <w:r w:rsidR="008469EF">
        <w:t xml:space="preserve">onvention which states that </w:t>
      </w:r>
      <w:r w:rsidR="00325632">
        <w:t>i</w:t>
      </w:r>
      <w:r w:rsidR="008469EF" w:rsidRPr="008469EF">
        <w:t>n the development an</w:t>
      </w:r>
      <w:r w:rsidR="008469EF">
        <w:t xml:space="preserve">d implementation of legislation </w:t>
      </w:r>
      <w:r w:rsidR="00961427">
        <w:t xml:space="preserve">and policies </w:t>
      </w:r>
      <w:r w:rsidR="00CD7DDB">
        <w:t>State Parties</w:t>
      </w:r>
      <w:r w:rsidR="008469EF" w:rsidRPr="008469EF">
        <w:t xml:space="preserve"> shall closely consult with and actively inv</w:t>
      </w:r>
      <w:r w:rsidR="006A712D">
        <w:t>olve persons with disabilities through their representative organisations.</w:t>
      </w:r>
    </w:p>
    <w:p w:rsidR="008F1140" w:rsidRPr="008469EF" w:rsidRDefault="008F1140" w:rsidP="007F02FB">
      <w:pPr>
        <w:pStyle w:val="Heading1"/>
      </w:pPr>
      <w:r w:rsidRPr="008469EF">
        <w:t>Publicity</w:t>
      </w:r>
    </w:p>
    <w:p w:rsidR="006A712D" w:rsidRDefault="008B3C65" w:rsidP="00D64B51">
      <w:pPr>
        <w:pStyle w:val="BodyText"/>
      </w:pPr>
      <w:r>
        <w:t xml:space="preserve">A communications plan </w:t>
      </w:r>
      <w:r w:rsidR="00166967">
        <w:t>will be</w:t>
      </w:r>
      <w:r w:rsidRPr="008B3C65">
        <w:t xml:space="preserve"> prepared to initiate the process for nominations </w:t>
      </w:r>
      <w:r w:rsidR="00961427">
        <w:t>to</w:t>
      </w:r>
      <w:r w:rsidRPr="008B3C65">
        <w:t xml:space="preserve"> the advisory board</w:t>
      </w:r>
      <w:r w:rsidR="00166967">
        <w:t xml:space="preserve"> and to </w:t>
      </w:r>
      <w:r w:rsidRPr="008B3C65">
        <w:t xml:space="preserve">manage expectations of the community while the advisory board becomes established and develops a work programme and process for the NZSL Fund. </w:t>
      </w:r>
    </w:p>
    <w:p w:rsidR="00767CD5" w:rsidRPr="006A712D" w:rsidRDefault="00767CD5" w:rsidP="00D64B51">
      <w:pPr>
        <w:pStyle w:val="BodyText"/>
      </w:pPr>
      <w:r>
        <w:t>I intend to announce the establishment of the Board following the Cabinet decision.</w:t>
      </w:r>
    </w:p>
    <w:p w:rsidR="006A712D" w:rsidRDefault="006A712D" w:rsidP="00D64B51">
      <w:pPr>
        <w:jc w:val="left"/>
        <w:rPr>
          <w:b/>
          <w:sz w:val="24"/>
        </w:rPr>
      </w:pPr>
    </w:p>
    <w:p w:rsidR="008F1140" w:rsidRPr="00D64B51" w:rsidRDefault="008F1140" w:rsidP="00D64B51">
      <w:pPr>
        <w:jc w:val="left"/>
        <w:rPr>
          <w:rFonts w:ascii="Arial Mäori" w:hAnsi="Arial Mäori"/>
          <w:b/>
          <w:kern w:val="28"/>
          <w:sz w:val="24"/>
        </w:rPr>
      </w:pPr>
      <w:r w:rsidRPr="00D64B51">
        <w:rPr>
          <w:b/>
          <w:sz w:val="24"/>
        </w:rPr>
        <w:t>Recommendations</w:t>
      </w:r>
    </w:p>
    <w:p w:rsidR="008F1140" w:rsidRDefault="00357075" w:rsidP="00D63B42">
      <w:pPr>
        <w:pStyle w:val="BodyText"/>
      </w:pPr>
      <w:r>
        <w:t>It is reco</w:t>
      </w:r>
      <w:r w:rsidRPr="00BF7478">
        <w:t>m</w:t>
      </w:r>
      <w:r>
        <w:t>mended that the</w:t>
      </w:r>
      <w:r w:rsidR="008B3C65">
        <w:t xml:space="preserve"> Cabinet Social Policy</w:t>
      </w:r>
      <w:r>
        <w:t xml:space="preserve"> Committee:</w:t>
      </w:r>
    </w:p>
    <w:p w:rsidR="00380E6F" w:rsidRPr="00380E6F" w:rsidRDefault="00380E6F" w:rsidP="00380E6F">
      <w:pPr>
        <w:pStyle w:val="RecNumbering"/>
        <w:numPr>
          <w:ilvl w:val="0"/>
          <w:numId w:val="0"/>
        </w:numPr>
        <w:ind w:firstLine="493"/>
        <w:rPr>
          <w:b/>
        </w:rPr>
      </w:pPr>
      <w:r w:rsidRPr="00380E6F">
        <w:rPr>
          <w:b/>
        </w:rPr>
        <w:t>Human Rights Commission inquiry</w:t>
      </w:r>
    </w:p>
    <w:p w:rsidR="00380E6F" w:rsidRDefault="00380E6F" w:rsidP="00380E6F">
      <w:pPr>
        <w:pStyle w:val="RecNumbering"/>
      </w:pPr>
      <w:r w:rsidRPr="00380E6F">
        <w:rPr>
          <w:b/>
        </w:rPr>
        <w:t>note</w:t>
      </w:r>
      <w:r>
        <w:t xml:space="preserve"> th</w:t>
      </w:r>
      <w:r w:rsidR="00CD7DDB">
        <w:t>at the Human Rights Commission</w:t>
      </w:r>
      <w:r>
        <w:t xml:space="preserve"> inquiry</w:t>
      </w:r>
      <w:r w:rsidR="008B3C65">
        <w:t xml:space="preserve"> </w:t>
      </w:r>
      <w:r w:rsidR="008B3C65" w:rsidRPr="00A63E59">
        <w:rPr>
          <w:i/>
        </w:rPr>
        <w:t>‘A new era in the right to sign’</w:t>
      </w:r>
      <w:r w:rsidR="008B3C65">
        <w:t xml:space="preserve"> </w:t>
      </w:r>
      <w:r>
        <w:t>identified that deaf people continue to experience barriers when using NZSL and these barriers impact on their quality of life and ability to participate in society</w:t>
      </w:r>
    </w:p>
    <w:p w:rsidR="0008125A" w:rsidRPr="00EE258A" w:rsidRDefault="00380E6F" w:rsidP="00EE258A">
      <w:pPr>
        <w:pStyle w:val="RecNumbering"/>
      </w:pPr>
      <w:r w:rsidRPr="00380E6F">
        <w:rPr>
          <w:b/>
        </w:rPr>
        <w:t>note</w:t>
      </w:r>
      <w:r>
        <w:t xml:space="preserve"> that in response to the recommendation from the Human Rights Commission inquiry report, the Office for Disability Issues established an expert advisory group to provide advice on establishing a permanent mechanism for the promotion and maintenance of NZSL and priorities for a work programme</w:t>
      </w:r>
    </w:p>
    <w:p w:rsidR="00F81990" w:rsidRDefault="00F81990" w:rsidP="00C33D8D">
      <w:pPr>
        <w:pStyle w:val="RecNumbering"/>
        <w:numPr>
          <w:ilvl w:val="0"/>
          <w:numId w:val="0"/>
        </w:numPr>
        <w:ind w:firstLine="493"/>
        <w:rPr>
          <w:b/>
        </w:rPr>
      </w:pPr>
    </w:p>
    <w:p w:rsidR="00380E6F" w:rsidRPr="00380E6F" w:rsidRDefault="00380E6F" w:rsidP="00C33D8D">
      <w:pPr>
        <w:pStyle w:val="RecNumbering"/>
        <w:numPr>
          <w:ilvl w:val="0"/>
          <w:numId w:val="0"/>
        </w:numPr>
        <w:ind w:firstLine="493"/>
        <w:rPr>
          <w:b/>
        </w:rPr>
      </w:pPr>
      <w:r w:rsidRPr="00380E6F">
        <w:rPr>
          <w:b/>
        </w:rPr>
        <w:t>Advice of the expert advisory group</w:t>
      </w:r>
    </w:p>
    <w:p w:rsidR="00380E6F" w:rsidRDefault="00380E6F" w:rsidP="00380E6F">
      <w:pPr>
        <w:pStyle w:val="RecNumbering"/>
      </w:pPr>
      <w:r w:rsidRPr="00380E6F">
        <w:rPr>
          <w:b/>
        </w:rPr>
        <w:t>note</w:t>
      </w:r>
      <w:r>
        <w:t xml:space="preserve"> that the expert advisory group recommended:</w:t>
      </w:r>
    </w:p>
    <w:p w:rsidR="00380E6F" w:rsidRDefault="00380E6F" w:rsidP="00380E6F">
      <w:pPr>
        <w:pStyle w:val="RecNumbering2"/>
      </w:pPr>
      <w:r>
        <w:t>establishing a</w:t>
      </w:r>
      <w:r w:rsidR="00584B78">
        <w:t>n</w:t>
      </w:r>
      <w:r>
        <w:t xml:space="preserve"> </w:t>
      </w:r>
      <w:r w:rsidR="00584B78">
        <w:t>advisory board</w:t>
      </w:r>
      <w:r>
        <w:t xml:space="preserve"> to promote and maintain NZSL</w:t>
      </w:r>
    </w:p>
    <w:p w:rsidR="00380E6F" w:rsidRDefault="008B3C65" w:rsidP="00380E6F">
      <w:pPr>
        <w:pStyle w:val="RecNumbering2"/>
      </w:pPr>
      <w:r>
        <w:t xml:space="preserve">progressing </w:t>
      </w:r>
      <w:r w:rsidR="00380E6F">
        <w:t>five</w:t>
      </w:r>
      <w:r>
        <w:t xml:space="preserve"> initial</w:t>
      </w:r>
      <w:r w:rsidR="00380E6F">
        <w:t xml:space="preserve"> priorities for</w:t>
      </w:r>
      <w:r w:rsidR="008B091D">
        <w:t xml:space="preserve"> the</w:t>
      </w:r>
      <w:r w:rsidR="00380E6F">
        <w:t xml:space="preserve"> promotion and maintenance of NZSL which are:</w:t>
      </w:r>
    </w:p>
    <w:p w:rsidR="00380E6F" w:rsidRDefault="00584B78" w:rsidP="00785D6A">
      <w:pPr>
        <w:pStyle w:val="RecNumbering"/>
        <w:numPr>
          <w:ilvl w:val="0"/>
          <w:numId w:val="11"/>
        </w:numPr>
      </w:pPr>
      <w:r>
        <w:t xml:space="preserve">promoting </w:t>
      </w:r>
      <w:r w:rsidR="00380E6F">
        <w:t>NZSL in education</w:t>
      </w:r>
    </w:p>
    <w:p w:rsidR="00380E6F" w:rsidRDefault="00584B78" w:rsidP="00785D6A">
      <w:pPr>
        <w:pStyle w:val="RecNumbering"/>
        <w:numPr>
          <w:ilvl w:val="0"/>
          <w:numId w:val="11"/>
        </w:numPr>
        <w:spacing w:before="0"/>
      </w:pPr>
      <w:r>
        <w:t xml:space="preserve">including </w:t>
      </w:r>
      <w:r w:rsidR="00380E6F">
        <w:t>NZSL in the home</w:t>
      </w:r>
    </w:p>
    <w:p w:rsidR="00380E6F" w:rsidRDefault="00584B78" w:rsidP="00785D6A">
      <w:pPr>
        <w:pStyle w:val="RecNumbering"/>
        <w:numPr>
          <w:ilvl w:val="0"/>
          <w:numId w:val="11"/>
        </w:numPr>
        <w:spacing w:before="0"/>
      </w:pPr>
      <w:r>
        <w:t xml:space="preserve">providing </w:t>
      </w:r>
      <w:r w:rsidR="00380E6F">
        <w:t>access to information and services</w:t>
      </w:r>
    </w:p>
    <w:p w:rsidR="00380E6F" w:rsidRDefault="00584B78" w:rsidP="00785D6A">
      <w:pPr>
        <w:pStyle w:val="RecNumbering"/>
        <w:numPr>
          <w:ilvl w:val="0"/>
          <w:numId w:val="11"/>
        </w:numPr>
        <w:spacing w:before="0"/>
      </w:pPr>
      <w:r>
        <w:t xml:space="preserve">providing </w:t>
      </w:r>
      <w:r w:rsidR="00380E6F">
        <w:t xml:space="preserve">access for deaf Māori </w:t>
      </w:r>
    </w:p>
    <w:p w:rsidR="00380E6F" w:rsidRDefault="00584B78" w:rsidP="00785D6A">
      <w:pPr>
        <w:pStyle w:val="RecNumbering"/>
        <w:numPr>
          <w:ilvl w:val="0"/>
          <w:numId w:val="11"/>
        </w:numPr>
        <w:spacing w:before="0"/>
      </w:pPr>
      <w:r>
        <w:t xml:space="preserve">developing </w:t>
      </w:r>
      <w:r w:rsidR="00380E6F">
        <w:t>interpreter standards</w:t>
      </w:r>
    </w:p>
    <w:p w:rsidR="00380E6F" w:rsidRDefault="00380E6F" w:rsidP="00627379">
      <w:pPr>
        <w:pStyle w:val="RecNumbering2"/>
      </w:pPr>
      <w:r>
        <w:t xml:space="preserve">establishing a NZSL Fund to </w:t>
      </w:r>
      <w:r w:rsidR="00584B78">
        <w:t>fund</w:t>
      </w:r>
      <w:r>
        <w:t xml:space="preserve"> community initiatives </w:t>
      </w:r>
      <w:r w:rsidR="00584B78">
        <w:t xml:space="preserve">that </w:t>
      </w:r>
      <w:r>
        <w:t>promote and maintain NZSL</w:t>
      </w:r>
    </w:p>
    <w:p w:rsidR="00380E6F" w:rsidRPr="00627379" w:rsidRDefault="00380E6F" w:rsidP="00627379">
      <w:pPr>
        <w:pStyle w:val="RecNumbering"/>
        <w:numPr>
          <w:ilvl w:val="0"/>
          <w:numId w:val="0"/>
        </w:numPr>
        <w:ind w:left="987" w:hanging="494"/>
        <w:rPr>
          <w:b/>
        </w:rPr>
      </w:pPr>
      <w:r w:rsidRPr="00627379">
        <w:rPr>
          <w:b/>
        </w:rPr>
        <w:t>Establish</w:t>
      </w:r>
      <w:r w:rsidR="00584B78">
        <w:rPr>
          <w:b/>
        </w:rPr>
        <w:t>ing</w:t>
      </w:r>
      <w:r w:rsidRPr="00627379">
        <w:rPr>
          <w:b/>
        </w:rPr>
        <w:t xml:space="preserve"> an advisory board</w:t>
      </w:r>
    </w:p>
    <w:p w:rsidR="00380E6F" w:rsidRDefault="00380E6F" w:rsidP="00380E6F">
      <w:pPr>
        <w:pStyle w:val="RecNumbering"/>
      </w:pPr>
      <w:r w:rsidRPr="00627379">
        <w:rPr>
          <w:b/>
        </w:rPr>
        <w:t>agree</w:t>
      </w:r>
      <w:r w:rsidR="00584B78">
        <w:t xml:space="preserve"> to </w:t>
      </w:r>
      <w:r>
        <w:t xml:space="preserve">establish </w:t>
      </w:r>
      <w:r w:rsidR="00584B78">
        <w:t>an</w:t>
      </w:r>
      <w:r>
        <w:t xml:space="preserve"> advisory board with responsibility to:</w:t>
      </w:r>
    </w:p>
    <w:p w:rsidR="00380E6F" w:rsidRDefault="00380E6F" w:rsidP="00627379">
      <w:pPr>
        <w:pStyle w:val="RecNumbering2"/>
      </w:pPr>
      <w:r>
        <w:t>promote and maintain NZSL</w:t>
      </w:r>
    </w:p>
    <w:p w:rsidR="00380E6F" w:rsidRDefault="00380E6F" w:rsidP="00627379">
      <w:pPr>
        <w:pStyle w:val="RecNumbering2"/>
      </w:pPr>
      <w:r>
        <w:t>progress priorities for NZSL</w:t>
      </w:r>
    </w:p>
    <w:p w:rsidR="00380E6F" w:rsidRDefault="00380E6F" w:rsidP="00627379">
      <w:pPr>
        <w:pStyle w:val="RecNumbering2"/>
      </w:pPr>
      <w:r>
        <w:t>support community initiatives for NZSL</w:t>
      </w:r>
    </w:p>
    <w:p w:rsidR="00380E6F" w:rsidRDefault="00380E6F" w:rsidP="00380E6F">
      <w:pPr>
        <w:pStyle w:val="RecNumbering"/>
      </w:pPr>
      <w:r w:rsidRPr="00627379">
        <w:rPr>
          <w:b/>
        </w:rPr>
        <w:t>agree</w:t>
      </w:r>
      <w:r>
        <w:t xml:space="preserve"> that the advisory board </w:t>
      </w:r>
      <w:r w:rsidR="00584B78">
        <w:t>will be supported by a secretariat within the Ministry of Social Development</w:t>
      </w:r>
    </w:p>
    <w:p w:rsidR="00380E6F" w:rsidRDefault="005B2F62" w:rsidP="00166967">
      <w:pPr>
        <w:pStyle w:val="RecNumbering"/>
      </w:pPr>
      <w:r>
        <w:rPr>
          <w:b/>
        </w:rPr>
        <w:t>note</w:t>
      </w:r>
      <w:r w:rsidR="00380E6F">
        <w:t xml:space="preserve"> that </w:t>
      </w:r>
      <w:r w:rsidR="00166967">
        <w:t>t</w:t>
      </w:r>
      <w:r w:rsidR="00166967" w:rsidRPr="00166967">
        <w:t xml:space="preserve">he Minister for Disability Issues </w:t>
      </w:r>
      <w:r w:rsidR="00961427">
        <w:t>will</w:t>
      </w:r>
      <w:r w:rsidR="00166967" w:rsidRPr="00166967">
        <w:t xml:space="preserve"> </w:t>
      </w:r>
      <w:r>
        <w:t>appoint members to the advisory board and will take appointments to the</w:t>
      </w:r>
      <w:r w:rsidR="00166967" w:rsidRPr="00166967">
        <w:t xml:space="preserve"> Appointments and Honours Committee </w:t>
      </w:r>
      <w:r w:rsidR="00584B78">
        <w:t>in December 2014</w:t>
      </w:r>
    </w:p>
    <w:p w:rsidR="005B2F62" w:rsidRDefault="005B2F62" w:rsidP="00166967">
      <w:pPr>
        <w:pStyle w:val="RecNumbering"/>
      </w:pPr>
      <w:r>
        <w:rPr>
          <w:b/>
        </w:rPr>
        <w:t xml:space="preserve">note </w:t>
      </w:r>
      <w:r>
        <w:t xml:space="preserve">that draft Terms of Reference for the advisory board have been prepared and will be </w:t>
      </w:r>
      <w:r w:rsidR="00767CD5">
        <w:t>approved</w:t>
      </w:r>
      <w:r>
        <w:t xml:space="preserve"> by the Minister for Disability Issues</w:t>
      </w:r>
    </w:p>
    <w:p w:rsidR="006A712D" w:rsidRDefault="006A712D" w:rsidP="006A712D">
      <w:pPr>
        <w:jc w:val="left"/>
        <w:rPr>
          <w:b/>
        </w:rPr>
      </w:pPr>
    </w:p>
    <w:p w:rsidR="00380E6F" w:rsidRPr="00627379" w:rsidRDefault="00380E6F" w:rsidP="00863BC6">
      <w:pPr>
        <w:ind w:firstLine="493"/>
        <w:jc w:val="left"/>
        <w:rPr>
          <w:b/>
        </w:rPr>
      </w:pPr>
      <w:r w:rsidRPr="00627379">
        <w:rPr>
          <w:b/>
        </w:rPr>
        <w:t>Progress priorities for New Zealand Sign Language</w:t>
      </w:r>
    </w:p>
    <w:p w:rsidR="00380E6F" w:rsidRDefault="00380E6F" w:rsidP="00380E6F">
      <w:pPr>
        <w:pStyle w:val="RecNumbering"/>
      </w:pPr>
      <w:r w:rsidRPr="00627379">
        <w:rPr>
          <w:b/>
        </w:rPr>
        <w:t>agree</w:t>
      </w:r>
      <w:r>
        <w:t xml:space="preserve"> </w:t>
      </w:r>
      <w:r w:rsidR="00584B78">
        <w:t>to the</w:t>
      </w:r>
      <w:r>
        <w:t xml:space="preserve"> advisory board develop</w:t>
      </w:r>
      <w:r w:rsidR="00584B78">
        <w:t>ing and coordinating the</w:t>
      </w:r>
      <w:r>
        <w:t xml:space="preserve"> implementation of a three year action plan across government departments</w:t>
      </w:r>
    </w:p>
    <w:p w:rsidR="00DD7632" w:rsidRDefault="00DD7632" w:rsidP="00380E6F">
      <w:pPr>
        <w:pStyle w:val="RecNumbering"/>
      </w:pPr>
      <w:r>
        <w:rPr>
          <w:b/>
        </w:rPr>
        <w:t xml:space="preserve">note </w:t>
      </w:r>
      <w:r>
        <w:t>that the Minister for Disability Issues will take the three year action plan to progress initiatives for NZSL to the Ministerial Committee for Disability Issues for approval</w:t>
      </w:r>
    </w:p>
    <w:p w:rsidR="00380E6F" w:rsidRDefault="00F30312" w:rsidP="00380E6F">
      <w:pPr>
        <w:pStyle w:val="RecNumbering"/>
      </w:pPr>
      <w:r>
        <w:rPr>
          <w:b/>
        </w:rPr>
        <w:t>direct</w:t>
      </w:r>
      <w:r w:rsidR="00380E6F">
        <w:t xml:space="preserve"> the Ministries of Health, Education and Social Development, whose core business includes services for NZSL users</w:t>
      </w:r>
      <w:r w:rsidR="00584B78">
        <w:t xml:space="preserve"> </w:t>
      </w:r>
      <w:r w:rsidR="00DD7632">
        <w:t>(</w:t>
      </w:r>
      <w:r w:rsidR="00584B78">
        <w:t>and any other government agency involved in the three year action plan</w:t>
      </w:r>
      <w:r w:rsidR="00DD7632">
        <w:t>)</w:t>
      </w:r>
      <w:r w:rsidR="00380E6F">
        <w:t xml:space="preserve">, </w:t>
      </w:r>
      <w:r w:rsidR="00767CD5">
        <w:t xml:space="preserve">to </w:t>
      </w:r>
      <w:r w:rsidR="00380E6F">
        <w:t xml:space="preserve">report to the advisory board annually on initiatives related to </w:t>
      </w:r>
      <w:r w:rsidR="008B3C65">
        <w:t xml:space="preserve">the </w:t>
      </w:r>
      <w:r w:rsidR="00380E6F">
        <w:t>NZSL action plan and work programme</w:t>
      </w:r>
    </w:p>
    <w:p w:rsidR="00A65963" w:rsidRPr="002F5611" w:rsidRDefault="00380E6F" w:rsidP="002F5611">
      <w:pPr>
        <w:pStyle w:val="RecNumbering"/>
      </w:pPr>
      <w:r w:rsidRPr="00627379">
        <w:rPr>
          <w:b/>
        </w:rPr>
        <w:t>agree</w:t>
      </w:r>
      <w:r>
        <w:t xml:space="preserve"> that the advisory board </w:t>
      </w:r>
      <w:r w:rsidR="00584B78">
        <w:t xml:space="preserve">will report </w:t>
      </w:r>
      <w:r>
        <w:t>to the Minister for Disability Issues on progress against the priorities for NZSL and review the priorities as needed</w:t>
      </w:r>
    </w:p>
    <w:p w:rsidR="00F81990" w:rsidRDefault="00F81990" w:rsidP="001C0632">
      <w:pPr>
        <w:pStyle w:val="RecNumbering"/>
        <w:numPr>
          <w:ilvl w:val="0"/>
          <w:numId w:val="0"/>
        </w:numPr>
        <w:ind w:firstLine="493"/>
        <w:rPr>
          <w:b/>
        </w:rPr>
      </w:pPr>
    </w:p>
    <w:p w:rsidR="00F81990" w:rsidRDefault="00F81990" w:rsidP="001C0632">
      <w:pPr>
        <w:pStyle w:val="RecNumbering"/>
        <w:numPr>
          <w:ilvl w:val="0"/>
          <w:numId w:val="0"/>
        </w:numPr>
        <w:ind w:firstLine="493"/>
        <w:rPr>
          <w:b/>
        </w:rPr>
      </w:pPr>
    </w:p>
    <w:p w:rsidR="00F81990" w:rsidRDefault="00F81990" w:rsidP="001C0632">
      <w:pPr>
        <w:pStyle w:val="RecNumbering"/>
        <w:numPr>
          <w:ilvl w:val="0"/>
          <w:numId w:val="0"/>
        </w:numPr>
        <w:ind w:firstLine="493"/>
        <w:rPr>
          <w:b/>
        </w:rPr>
      </w:pPr>
    </w:p>
    <w:p w:rsidR="00380E6F" w:rsidRPr="00627379" w:rsidRDefault="00380E6F" w:rsidP="001C0632">
      <w:pPr>
        <w:pStyle w:val="RecNumbering"/>
        <w:numPr>
          <w:ilvl w:val="0"/>
          <w:numId w:val="0"/>
        </w:numPr>
        <w:ind w:firstLine="493"/>
        <w:rPr>
          <w:b/>
        </w:rPr>
      </w:pPr>
      <w:r w:rsidRPr="00627379">
        <w:rPr>
          <w:b/>
        </w:rPr>
        <w:t>Establish a New Zealand Sign Language Fund</w:t>
      </w:r>
    </w:p>
    <w:p w:rsidR="002B7A69" w:rsidRPr="002B7A69" w:rsidRDefault="002B7A69" w:rsidP="002B7A69">
      <w:pPr>
        <w:pStyle w:val="RecNumbering"/>
        <w:rPr>
          <w:b/>
        </w:rPr>
      </w:pPr>
      <w:r w:rsidRPr="002B7A69">
        <w:rPr>
          <w:b/>
        </w:rPr>
        <w:t xml:space="preserve">agree </w:t>
      </w:r>
      <w:r w:rsidRPr="002B7A69">
        <w:t>to establish a NZSL Fund, for funding projects to promote and maintain NZSL</w:t>
      </w:r>
    </w:p>
    <w:p w:rsidR="002B7A69" w:rsidRPr="002B7A69" w:rsidRDefault="002B7A69" w:rsidP="002B7A69">
      <w:pPr>
        <w:pStyle w:val="RecNumbering"/>
        <w:rPr>
          <w:b/>
        </w:rPr>
      </w:pPr>
      <w:r w:rsidRPr="002B7A69">
        <w:rPr>
          <w:b/>
        </w:rPr>
        <w:t xml:space="preserve">agree </w:t>
      </w:r>
      <w:r w:rsidRPr="002B7A69">
        <w:t>that the Minister for Disability Issues will approve the policy and criteria for funding initiatives annually</w:t>
      </w:r>
    </w:p>
    <w:p w:rsidR="002B7A69" w:rsidRPr="002B7A69" w:rsidRDefault="002B7A69" w:rsidP="002B7A69">
      <w:pPr>
        <w:pStyle w:val="RecNumbering"/>
        <w:rPr>
          <w:b/>
        </w:rPr>
      </w:pPr>
      <w:r w:rsidRPr="002B7A69">
        <w:rPr>
          <w:b/>
        </w:rPr>
        <w:t xml:space="preserve">agree </w:t>
      </w:r>
      <w:r w:rsidRPr="002B7A69">
        <w:t>that advisory board will consider proposals and provide recommendations on which proposals to fund</w:t>
      </w:r>
      <w:r w:rsidRPr="002B7A69">
        <w:rPr>
          <w:b/>
        </w:rPr>
        <w:t xml:space="preserve"> </w:t>
      </w:r>
    </w:p>
    <w:p w:rsidR="002B7A69" w:rsidRDefault="002B7A69" w:rsidP="002B7A69">
      <w:pPr>
        <w:pStyle w:val="RecNumbering"/>
      </w:pPr>
      <w:r w:rsidRPr="002B7A69">
        <w:rPr>
          <w:b/>
        </w:rPr>
        <w:t xml:space="preserve">agree </w:t>
      </w:r>
      <w:r w:rsidRPr="002B7A69">
        <w:t>that the Office for Disability Issues will make final decisions on allocation of available funds based on the advice of the advisory board</w:t>
      </w:r>
    </w:p>
    <w:p w:rsidR="00F30312" w:rsidRDefault="00F30312" w:rsidP="00F30312">
      <w:pPr>
        <w:pStyle w:val="RecNumbering"/>
        <w:numPr>
          <w:ilvl w:val="0"/>
          <w:numId w:val="0"/>
        </w:numPr>
        <w:ind w:left="493"/>
      </w:pPr>
      <w:r>
        <w:rPr>
          <w:b/>
        </w:rPr>
        <w:t>Funding</w:t>
      </w:r>
    </w:p>
    <w:p w:rsidR="00767CD5" w:rsidRDefault="00F30312" w:rsidP="007F02FB">
      <w:pPr>
        <w:pStyle w:val="RecNumbering"/>
      </w:pPr>
      <w:r>
        <w:rPr>
          <w:b/>
        </w:rPr>
        <w:t>note</w:t>
      </w:r>
      <w:r w:rsidR="00627379">
        <w:rPr>
          <w:b/>
        </w:rPr>
        <w:t xml:space="preserve"> </w:t>
      </w:r>
      <w:r w:rsidR="00627379">
        <w:t>that $1</w:t>
      </w:r>
      <w:r>
        <w:t>.5 million has been approved</w:t>
      </w:r>
      <w:r w:rsidR="00767CD5">
        <w:t xml:space="preserve"> annually</w:t>
      </w:r>
      <w:r>
        <w:t xml:space="preserve"> in Budget 2014</w:t>
      </w:r>
      <w:r w:rsidR="00961427">
        <w:t xml:space="preserve"> for promotion and maintenance of NZSL</w:t>
      </w:r>
      <w:r w:rsidR="00767CD5">
        <w:t>, with the following impact</w:t>
      </w:r>
      <w:r w:rsidR="007F02FB">
        <w:br/>
      </w:r>
    </w:p>
    <w:tbl>
      <w:tblPr>
        <w:tblW w:w="9072" w:type="dxa"/>
        <w:tblInd w:w="534" w:type="dxa"/>
        <w:tblLayout w:type="fixed"/>
        <w:tblCellMar>
          <w:left w:w="0" w:type="dxa"/>
          <w:right w:w="0" w:type="dxa"/>
        </w:tblCellMar>
        <w:tblLook w:val="04A0" w:firstRow="1" w:lastRow="0" w:firstColumn="1" w:lastColumn="0" w:noHBand="0" w:noVBand="1"/>
      </w:tblPr>
      <w:tblGrid>
        <w:gridCol w:w="2551"/>
        <w:gridCol w:w="954"/>
        <w:gridCol w:w="1270"/>
        <w:gridCol w:w="1275"/>
        <w:gridCol w:w="3022"/>
      </w:tblGrid>
      <w:tr w:rsidR="00767CD5" w:rsidTr="007F02FB">
        <w:tc>
          <w:tcPr>
            <w:tcW w:w="2551" w:type="dxa"/>
            <w:vMerge w:val="restart"/>
            <w:tcBorders>
              <w:top w:val="nil"/>
              <w:left w:val="nil"/>
              <w:bottom w:val="single" w:sz="8" w:space="0" w:color="auto"/>
              <w:right w:val="single" w:sz="8" w:space="0" w:color="auto"/>
            </w:tcBorders>
            <w:tcMar>
              <w:top w:w="0" w:type="dxa"/>
              <w:left w:w="108" w:type="dxa"/>
              <w:bottom w:w="0" w:type="dxa"/>
              <w:right w:w="108" w:type="dxa"/>
            </w:tcMar>
          </w:tcPr>
          <w:p w:rsidR="00767CD5" w:rsidRDefault="00767CD5" w:rsidP="00767CD5">
            <w:pPr>
              <w:pStyle w:val="RecNumbering"/>
              <w:numPr>
                <w:ilvl w:val="0"/>
                <w:numId w:val="0"/>
              </w:numPr>
              <w:ind w:left="987" w:hanging="494"/>
              <w:rPr>
                <w:rFonts w:eastAsiaTheme="minorHAnsi"/>
              </w:rPr>
            </w:pPr>
          </w:p>
        </w:tc>
        <w:tc>
          <w:tcPr>
            <w:tcW w:w="652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CD5" w:rsidRDefault="00767CD5">
            <w:pPr>
              <w:jc w:val="center"/>
              <w:rPr>
                <w:rFonts w:eastAsiaTheme="minorHAnsi" w:cs="Arial"/>
                <w:sz w:val="20"/>
              </w:rPr>
            </w:pPr>
            <w:r>
              <w:rPr>
                <w:sz w:val="20"/>
              </w:rPr>
              <w:t>$m – increase/(decrease)</w:t>
            </w:r>
          </w:p>
        </w:tc>
      </w:tr>
      <w:tr w:rsidR="00767CD5" w:rsidTr="00913F36">
        <w:trPr>
          <w:trHeight w:val="236"/>
        </w:trPr>
        <w:tc>
          <w:tcPr>
            <w:tcW w:w="2551" w:type="dxa"/>
            <w:vMerge/>
            <w:tcBorders>
              <w:top w:val="nil"/>
              <w:left w:val="nil"/>
              <w:bottom w:val="single" w:sz="8" w:space="0" w:color="auto"/>
              <w:right w:val="single" w:sz="8" w:space="0" w:color="auto"/>
            </w:tcBorders>
            <w:vAlign w:val="center"/>
            <w:hideMark/>
          </w:tcPr>
          <w:p w:rsidR="00767CD5" w:rsidRDefault="00767CD5">
            <w:pPr>
              <w:rPr>
                <w:rFonts w:ascii="Arial Mäori" w:eastAsiaTheme="minorHAnsi" w:hAnsi="Arial Mäori" w:cs="Calibri"/>
                <w:b/>
                <w:bCs/>
                <w:sz w:val="20"/>
              </w:rPr>
            </w:pPr>
          </w:p>
        </w:tc>
        <w:tc>
          <w:tcPr>
            <w:tcW w:w="954" w:type="dxa"/>
            <w:tcBorders>
              <w:top w:val="nil"/>
              <w:left w:val="nil"/>
              <w:bottom w:val="single" w:sz="8" w:space="0" w:color="auto"/>
              <w:right w:val="single" w:sz="8" w:space="0" w:color="auto"/>
            </w:tcBorders>
            <w:tcMar>
              <w:top w:w="0" w:type="dxa"/>
              <w:left w:w="108" w:type="dxa"/>
              <w:bottom w:w="0" w:type="dxa"/>
              <w:right w:w="108" w:type="dxa"/>
            </w:tcMar>
            <w:hideMark/>
          </w:tcPr>
          <w:p w:rsidR="00767CD5" w:rsidRDefault="00767CD5">
            <w:pPr>
              <w:jc w:val="center"/>
              <w:rPr>
                <w:rFonts w:ascii="Arial Mäori" w:eastAsiaTheme="minorHAnsi" w:hAnsi="Arial Mäori" w:cs="Calibri"/>
                <w:b/>
                <w:bCs/>
                <w:sz w:val="20"/>
              </w:rPr>
            </w:pPr>
            <w:r>
              <w:rPr>
                <w:rFonts w:ascii="Arial Mäori" w:hAnsi="Arial Mäori"/>
                <w:b/>
                <w:bCs/>
                <w:sz w:val="20"/>
              </w:rPr>
              <w:t>2014/15</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767CD5" w:rsidRDefault="00767CD5">
            <w:pPr>
              <w:jc w:val="center"/>
              <w:rPr>
                <w:rFonts w:ascii="Arial Mäori" w:eastAsiaTheme="minorHAnsi" w:hAnsi="Arial Mäori" w:cs="Calibri"/>
                <w:b/>
                <w:bCs/>
                <w:sz w:val="20"/>
              </w:rPr>
            </w:pPr>
            <w:r>
              <w:rPr>
                <w:rFonts w:ascii="Arial Mäori" w:hAnsi="Arial Mäori"/>
                <w:b/>
                <w:bCs/>
                <w:sz w:val="20"/>
              </w:rPr>
              <w:t>2015/16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67CD5" w:rsidRDefault="00767CD5">
            <w:pPr>
              <w:jc w:val="center"/>
              <w:rPr>
                <w:rFonts w:ascii="Arial Mäori" w:eastAsiaTheme="minorHAnsi" w:hAnsi="Arial Mäori" w:cs="Calibri"/>
                <w:b/>
                <w:bCs/>
                <w:sz w:val="20"/>
              </w:rPr>
            </w:pPr>
            <w:r>
              <w:rPr>
                <w:rFonts w:ascii="Arial Mäori" w:hAnsi="Arial Mäori"/>
                <w:b/>
                <w:bCs/>
                <w:sz w:val="20"/>
              </w:rPr>
              <w:t xml:space="preserve">2016/17 </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rsidR="00767CD5" w:rsidRDefault="00767CD5">
            <w:pPr>
              <w:jc w:val="center"/>
              <w:rPr>
                <w:rFonts w:ascii="Arial Mäori" w:eastAsiaTheme="minorHAnsi" w:hAnsi="Arial Mäori" w:cs="Calibri"/>
                <w:b/>
                <w:bCs/>
                <w:sz w:val="20"/>
              </w:rPr>
            </w:pPr>
            <w:r>
              <w:rPr>
                <w:rFonts w:ascii="Arial Mäori" w:hAnsi="Arial Mäori"/>
                <w:b/>
                <w:bCs/>
                <w:sz w:val="20"/>
              </w:rPr>
              <w:t xml:space="preserve">2017/18 and outyears </w:t>
            </w:r>
          </w:p>
        </w:tc>
      </w:tr>
      <w:tr w:rsidR="00767CD5" w:rsidTr="007F02FB">
        <w:tc>
          <w:tcPr>
            <w:tcW w:w="2551" w:type="dxa"/>
            <w:tcBorders>
              <w:top w:val="nil"/>
              <w:left w:val="single" w:sz="8" w:space="0" w:color="auto"/>
              <w:bottom w:val="nil"/>
              <w:right w:val="single" w:sz="8" w:space="0" w:color="auto"/>
            </w:tcBorders>
            <w:tcMar>
              <w:top w:w="0" w:type="dxa"/>
              <w:left w:w="108" w:type="dxa"/>
              <w:bottom w:w="0" w:type="dxa"/>
              <w:right w:w="108" w:type="dxa"/>
            </w:tcMar>
            <w:hideMark/>
          </w:tcPr>
          <w:p w:rsidR="00767CD5" w:rsidRDefault="007F02FB" w:rsidP="007F02FB">
            <w:pPr>
              <w:jc w:val="left"/>
              <w:rPr>
                <w:rFonts w:ascii="Arial Mäori" w:eastAsiaTheme="minorHAnsi" w:hAnsi="Arial Mäori" w:cs="Calibri"/>
                <w:sz w:val="20"/>
              </w:rPr>
            </w:pPr>
            <w:r>
              <w:rPr>
                <w:rFonts w:ascii="Arial Mäori" w:hAnsi="Arial Mäori"/>
                <w:b/>
                <w:bCs/>
                <w:sz w:val="20"/>
              </w:rPr>
              <w:t xml:space="preserve">Vote Social </w:t>
            </w:r>
            <w:r w:rsidR="00767CD5">
              <w:rPr>
                <w:rFonts w:ascii="Arial Mäori" w:hAnsi="Arial Mäori"/>
                <w:b/>
                <w:bCs/>
                <w:sz w:val="20"/>
              </w:rPr>
              <w:t>Development</w:t>
            </w:r>
          </w:p>
          <w:p w:rsidR="00767CD5" w:rsidRDefault="00767CD5" w:rsidP="007F02FB">
            <w:pPr>
              <w:jc w:val="left"/>
              <w:rPr>
                <w:rFonts w:ascii="Arial Mäori" w:eastAsiaTheme="minorHAnsi" w:hAnsi="Arial Mäori" w:cs="Calibri"/>
                <w:sz w:val="20"/>
              </w:rPr>
            </w:pPr>
            <w:r>
              <w:rPr>
                <w:rFonts w:ascii="Arial Mäori" w:hAnsi="Arial Mäori"/>
                <w:sz w:val="20"/>
              </w:rPr>
              <w:t>Operating Balance Impact</w:t>
            </w:r>
          </w:p>
        </w:tc>
        <w:tc>
          <w:tcPr>
            <w:tcW w:w="954" w:type="dxa"/>
            <w:tcBorders>
              <w:top w:val="nil"/>
              <w:left w:val="nil"/>
              <w:bottom w:val="nil"/>
              <w:right w:val="single" w:sz="8" w:space="0" w:color="auto"/>
            </w:tcBorders>
            <w:tcMar>
              <w:top w:w="0" w:type="dxa"/>
              <w:left w:w="108" w:type="dxa"/>
              <w:bottom w:w="0" w:type="dxa"/>
              <w:right w:w="108" w:type="dxa"/>
            </w:tcMar>
          </w:tcPr>
          <w:p w:rsidR="00767CD5" w:rsidRDefault="00767CD5">
            <w:pPr>
              <w:jc w:val="right"/>
              <w:rPr>
                <w:rFonts w:ascii="Arial Mäori" w:eastAsiaTheme="minorHAnsi" w:hAnsi="Arial Mäori" w:cs="Calibri"/>
                <w:sz w:val="20"/>
              </w:rPr>
            </w:pPr>
          </w:p>
          <w:p w:rsidR="00767CD5" w:rsidRDefault="00767CD5">
            <w:pPr>
              <w:jc w:val="right"/>
              <w:rPr>
                <w:rFonts w:ascii="Arial Mäori" w:hAnsi="Arial Mäori"/>
                <w:sz w:val="20"/>
              </w:rPr>
            </w:pPr>
          </w:p>
          <w:p w:rsidR="00767CD5" w:rsidRDefault="00DC1548">
            <w:pPr>
              <w:jc w:val="right"/>
              <w:rPr>
                <w:rFonts w:ascii="Arial Mäori" w:eastAsiaTheme="minorHAnsi" w:hAnsi="Arial Mäori" w:cs="Calibri"/>
                <w:sz w:val="20"/>
              </w:rPr>
            </w:pPr>
            <w:r>
              <w:rPr>
                <w:rFonts w:ascii="Arial Mäori" w:hAnsi="Arial Mäori"/>
                <w:sz w:val="20"/>
              </w:rPr>
              <w:t>1.500</w:t>
            </w:r>
          </w:p>
        </w:tc>
        <w:tc>
          <w:tcPr>
            <w:tcW w:w="1270" w:type="dxa"/>
            <w:tcBorders>
              <w:top w:val="nil"/>
              <w:left w:val="nil"/>
              <w:bottom w:val="nil"/>
              <w:right w:val="single" w:sz="8" w:space="0" w:color="auto"/>
            </w:tcBorders>
            <w:tcMar>
              <w:top w:w="0" w:type="dxa"/>
              <w:left w:w="108" w:type="dxa"/>
              <w:bottom w:w="0" w:type="dxa"/>
              <w:right w:w="108" w:type="dxa"/>
            </w:tcMar>
          </w:tcPr>
          <w:p w:rsidR="00767CD5" w:rsidRDefault="00767CD5">
            <w:pPr>
              <w:jc w:val="right"/>
              <w:rPr>
                <w:rFonts w:ascii="Arial Mäori" w:eastAsiaTheme="minorHAnsi" w:hAnsi="Arial Mäori" w:cs="Calibri"/>
                <w:sz w:val="20"/>
              </w:rPr>
            </w:pPr>
          </w:p>
          <w:p w:rsidR="00767CD5" w:rsidRDefault="00767CD5">
            <w:pPr>
              <w:jc w:val="right"/>
              <w:rPr>
                <w:rFonts w:ascii="Arial Mäori" w:hAnsi="Arial Mäori"/>
                <w:sz w:val="20"/>
              </w:rPr>
            </w:pPr>
          </w:p>
          <w:p w:rsidR="00767CD5" w:rsidRDefault="0065726B">
            <w:pPr>
              <w:jc w:val="right"/>
              <w:rPr>
                <w:rFonts w:ascii="Arial Mäori" w:eastAsiaTheme="minorHAnsi" w:hAnsi="Arial Mäori" w:cs="Calibri"/>
                <w:sz w:val="20"/>
              </w:rPr>
            </w:pPr>
            <w:r>
              <w:rPr>
                <w:rFonts w:ascii="Arial Mäori" w:hAnsi="Arial Mäori"/>
                <w:sz w:val="20"/>
              </w:rPr>
              <w:t>1.500</w:t>
            </w:r>
          </w:p>
        </w:tc>
        <w:tc>
          <w:tcPr>
            <w:tcW w:w="1275" w:type="dxa"/>
            <w:tcBorders>
              <w:top w:val="nil"/>
              <w:left w:val="nil"/>
              <w:bottom w:val="nil"/>
              <w:right w:val="single" w:sz="8" w:space="0" w:color="auto"/>
            </w:tcBorders>
            <w:tcMar>
              <w:top w:w="0" w:type="dxa"/>
              <w:left w:w="108" w:type="dxa"/>
              <w:bottom w:w="0" w:type="dxa"/>
              <w:right w:w="108" w:type="dxa"/>
            </w:tcMar>
          </w:tcPr>
          <w:p w:rsidR="00767CD5" w:rsidRDefault="00767CD5">
            <w:pPr>
              <w:jc w:val="right"/>
              <w:rPr>
                <w:rFonts w:ascii="Arial Mäori" w:eastAsiaTheme="minorHAnsi" w:hAnsi="Arial Mäori" w:cs="Calibri"/>
                <w:sz w:val="20"/>
              </w:rPr>
            </w:pPr>
          </w:p>
          <w:p w:rsidR="00767CD5" w:rsidRDefault="00767CD5">
            <w:pPr>
              <w:jc w:val="right"/>
              <w:rPr>
                <w:rFonts w:ascii="Arial Mäori" w:hAnsi="Arial Mäori"/>
                <w:sz w:val="20"/>
              </w:rPr>
            </w:pPr>
          </w:p>
          <w:p w:rsidR="00767CD5" w:rsidRDefault="0065726B">
            <w:pPr>
              <w:jc w:val="right"/>
              <w:rPr>
                <w:rFonts w:ascii="Arial Mäori" w:eastAsiaTheme="minorHAnsi" w:hAnsi="Arial Mäori" w:cs="Calibri"/>
                <w:sz w:val="20"/>
              </w:rPr>
            </w:pPr>
            <w:r>
              <w:rPr>
                <w:rFonts w:ascii="Arial Mäori" w:hAnsi="Arial Mäori"/>
                <w:sz w:val="20"/>
              </w:rPr>
              <w:t>1.500</w:t>
            </w:r>
          </w:p>
        </w:tc>
        <w:tc>
          <w:tcPr>
            <w:tcW w:w="3022" w:type="dxa"/>
            <w:tcBorders>
              <w:top w:val="nil"/>
              <w:left w:val="nil"/>
              <w:bottom w:val="nil"/>
              <w:right w:val="single" w:sz="8" w:space="0" w:color="auto"/>
            </w:tcBorders>
            <w:tcMar>
              <w:top w:w="0" w:type="dxa"/>
              <w:left w:w="108" w:type="dxa"/>
              <w:bottom w:w="0" w:type="dxa"/>
              <w:right w:w="108" w:type="dxa"/>
            </w:tcMar>
          </w:tcPr>
          <w:p w:rsidR="00767CD5" w:rsidRDefault="00767CD5">
            <w:pPr>
              <w:jc w:val="right"/>
              <w:rPr>
                <w:rFonts w:ascii="Arial Mäori" w:eastAsiaTheme="minorHAnsi" w:hAnsi="Arial Mäori" w:cs="Calibri"/>
                <w:sz w:val="20"/>
              </w:rPr>
            </w:pPr>
          </w:p>
          <w:p w:rsidR="00767CD5" w:rsidRDefault="00767CD5">
            <w:pPr>
              <w:jc w:val="right"/>
              <w:rPr>
                <w:rFonts w:ascii="Arial Mäori" w:hAnsi="Arial Mäori"/>
                <w:sz w:val="20"/>
              </w:rPr>
            </w:pPr>
          </w:p>
          <w:p w:rsidR="00767CD5" w:rsidRDefault="0065726B">
            <w:pPr>
              <w:jc w:val="right"/>
              <w:rPr>
                <w:rFonts w:ascii="Arial Mäori" w:eastAsiaTheme="minorHAnsi" w:hAnsi="Arial Mäori" w:cs="Calibri"/>
                <w:sz w:val="20"/>
              </w:rPr>
            </w:pPr>
            <w:r>
              <w:rPr>
                <w:rFonts w:ascii="Arial Mäori" w:hAnsi="Arial Mäori"/>
                <w:sz w:val="20"/>
              </w:rPr>
              <w:t>1.500</w:t>
            </w:r>
          </w:p>
        </w:tc>
      </w:tr>
      <w:tr w:rsidR="00767CD5" w:rsidTr="007F02FB">
        <w:tc>
          <w:tcPr>
            <w:tcW w:w="2551" w:type="dxa"/>
            <w:tcBorders>
              <w:top w:val="nil"/>
              <w:left w:val="single" w:sz="8" w:space="0" w:color="auto"/>
              <w:bottom w:val="nil"/>
              <w:right w:val="single" w:sz="8" w:space="0" w:color="auto"/>
            </w:tcBorders>
            <w:tcMar>
              <w:top w:w="0" w:type="dxa"/>
              <w:left w:w="108" w:type="dxa"/>
              <w:bottom w:w="0" w:type="dxa"/>
              <w:right w:w="108" w:type="dxa"/>
            </w:tcMar>
            <w:hideMark/>
          </w:tcPr>
          <w:p w:rsidR="00767CD5" w:rsidRDefault="00767CD5">
            <w:pPr>
              <w:rPr>
                <w:rFonts w:ascii="Arial Mäori" w:eastAsiaTheme="minorHAnsi" w:hAnsi="Arial Mäori" w:cs="Calibri"/>
                <w:sz w:val="20"/>
              </w:rPr>
            </w:pPr>
            <w:r>
              <w:rPr>
                <w:rFonts w:ascii="Arial Mäori" w:hAnsi="Arial Mäori"/>
                <w:sz w:val="20"/>
              </w:rPr>
              <w:t>Debt Impact</w:t>
            </w:r>
          </w:p>
          <w:p w:rsidR="00767CD5" w:rsidRDefault="00767CD5">
            <w:pPr>
              <w:rPr>
                <w:rFonts w:ascii="Arial Mäori" w:eastAsiaTheme="minorHAnsi" w:hAnsi="Arial Mäori" w:cs="Calibri"/>
                <w:sz w:val="20"/>
              </w:rPr>
            </w:pPr>
            <w:r>
              <w:rPr>
                <w:rFonts w:ascii="Arial Mäori" w:hAnsi="Arial Mäori"/>
                <w:sz w:val="20"/>
              </w:rPr>
              <w:t>No Impact</w:t>
            </w:r>
          </w:p>
        </w:tc>
        <w:tc>
          <w:tcPr>
            <w:tcW w:w="954" w:type="dxa"/>
            <w:tcBorders>
              <w:top w:val="nil"/>
              <w:left w:val="nil"/>
              <w:bottom w:val="nil"/>
              <w:right w:val="single" w:sz="8" w:space="0" w:color="auto"/>
            </w:tcBorders>
            <w:tcMar>
              <w:top w:w="0" w:type="dxa"/>
              <w:left w:w="108" w:type="dxa"/>
              <w:bottom w:w="0" w:type="dxa"/>
              <w:right w:w="108" w:type="dxa"/>
            </w:tcMar>
            <w:hideMark/>
          </w:tcPr>
          <w:p w:rsidR="00970B20" w:rsidRDefault="00970B20" w:rsidP="00970B20">
            <w:pPr>
              <w:jc w:val="right"/>
              <w:rPr>
                <w:rFonts w:ascii="Arial Mäori" w:eastAsiaTheme="minorHAnsi" w:hAnsi="Arial Mäori" w:cs="Calibri"/>
                <w:sz w:val="20"/>
              </w:rPr>
            </w:pPr>
            <w:r>
              <w:rPr>
                <w:rFonts w:ascii="Arial Mäori" w:hAnsi="Arial Mäori"/>
                <w:sz w:val="20"/>
              </w:rPr>
              <w:t>-</w:t>
            </w:r>
          </w:p>
          <w:p w:rsidR="00767CD5" w:rsidRDefault="00970B20" w:rsidP="00970B20">
            <w:pPr>
              <w:jc w:val="right"/>
              <w:rPr>
                <w:rFonts w:ascii="Arial Mäori" w:eastAsiaTheme="minorHAnsi" w:hAnsi="Arial Mäori" w:cs="Calibri"/>
                <w:sz w:val="20"/>
              </w:rPr>
            </w:pPr>
            <w:r>
              <w:rPr>
                <w:rFonts w:ascii="Arial Mäori" w:hAnsi="Arial Mäori"/>
                <w:sz w:val="20"/>
              </w:rPr>
              <w:t>-</w:t>
            </w:r>
          </w:p>
        </w:tc>
        <w:tc>
          <w:tcPr>
            <w:tcW w:w="1270" w:type="dxa"/>
            <w:tcBorders>
              <w:top w:val="nil"/>
              <w:left w:val="nil"/>
              <w:bottom w:val="nil"/>
              <w:right w:val="single" w:sz="8" w:space="0" w:color="auto"/>
            </w:tcBorders>
            <w:tcMar>
              <w:top w:w="0" w:type="dxa"/>
              <w:left w:w="108" w:type="dxa"/>
              <w:bottom w:w="0" w:type="dxa"/>
              <w:right w:w="108" w:type="dxa"/>
            </w:tcMar>
            <w:hideMark/>
          </w:tcPr>
          <w:p w:rsidR="00767CD5" w:rsidRDefault="00767CD5">
            <w:pPr>
              <w:jc w:val="right"/>
              <w:rPr>
                <w:rFonts w:ascii="Arial Mäori" w:eastAsiaTheme="minorHAnsi" w:hAnsi="Arial Mäori" w:cs="Calibri"/>
                <w:sz w:val="20"/>
              </w:rPr>
            </w:pPr>
            <w:r>
              <w:rPr>
                <w:rFonts w:ascii="Arial Mäori" w:hAnsi="Arial Mäori"/>
                <w:sz w:val="20"/>
              </w:rPr>
              <w:t>-</w:t>
            </w:r>
          </w:p>
          <w:p w:rsidR="00767CD5" w:rsidRDefault="00767CD5">
            <w:pPr>
              <w:jc w:val="right"/>
              <w:rPr>
                <w:rFonts w:ascii="Arial Mäori" w:eastAsiaTheme="minorHAnsi" w:hAnsi="Arial Mäori" w:cs="Calibri"/>
                <w:sz w:val="20"/>
              </w:rPr>
            </w:pPr>
            <w:r>
              <w:rPr>
                <w:rFonts w:ascii="Arial Mäori" w:hAnsi="Arial Mäori"/>
                <w:sz w:val="20"/>
              </w:rPr>
              <w:t>-</w:t>
            </w:r>
          </w:p>
        </w:tc>
        <w:tc>
          <w:tcPr>
            <w:tcW w:w="1275" w:type="dxa"/>
            <w:tcBorders>
              <w:top w:val="nil"/>
              <w:left w:val="nil"/>
              <w:bottom w:val="nil"/>
              <w:right w:val="single" w:sz="8" w:space="0" w:color="auto"/>
            </w:tcBorders>
            <w:tcMar>
              <w:top w:w="0" w:type="dxa"/>
              <w:left w:w="108" w:type="dxa"/>
              <w:bottom w:w="0" w:type="dxa"/>
              <w:right w:w="108" w:type="dxa"/>
            </w:tcMar>
            <w:hideMark/>
          </w:tcPr>
          <w:p w:rsidR="00767CD5" w:rsidRDefault="00767CD5">
            <w:pPr>
              <w:jc w:val="right"/>
              <w:rPr>
                <w:rFonts w:ascii="Arial Mäori" w:eastAsiaTheme="minorHAnsi" w:hAnsi="Arial Mäori" w:cs="Calibri"/>
                <w:sz w:val="20"/>
              </w:rPr>
            </w:pPr>
            <w:r>
              <w:rPr>
                <w:rFonts w:ascii="Arial Mäori" w:hAnsi="Arial Mäori"/>
                <w:sz w:val="20"/>
              </w:rPr>
              <w:t>-</w:t>
            </w:r>
          </w:p>
          <w:p w:rsidR="00767CD5" w:rsidRDefault="00767CD5">
            <w:pPr>
              <w:jc w:val="right"/>
              <w:rPr>
                <w:rFonts w:ascii="Arial Mäori" w:eastAsiaTheme="minorHAnsi" w:hAnsi="Arial Mäori" w:cs="Calibri"/>
                <w:sz w:val="20"/>
              </w:rPr>
            </w:pPr>
            <w:r>
              <w:rPr>
                <w:rFonts w:ascii="Arial Mäori" w:hAnsi="Arial Mäori"/>
                <w:sz w:val="20"/>
              </w:rPr>
              <w:t>-</w:t>
            </w:r>
          </w:p>
        </w:tc>
        <w:tc>
          <w:tcPr>
            <w:tcW w:w="3022" w:type="dxa"/>
            <w:tcBorders>
              <w:top w:val="nil"/>
              <w:left w:val="nil"/>
              <w:bottom w:val="nil"/>
              <w:right w:val="single" w:sz="8" w:space="0" w:color="auto"/>
            </w:tcBorders>
            <w:tcMar>
              <w:top w:w="0" w:type="dxa"/>
              <w:left w:w="108" w:type="dxa"/>
              <w:bottom w:w="0" w:type="dxa"/>
              <w:right w:w="108" w:type="dxa"/>
            </w:tcMar>
            <w:hideMark/>
          </w:tcPr>
          <w:p w:rsidR="00767CD5" w:rsidRDefault="00767CD5">
            <w:pPr>
              <w:jc w:val="right"/>
              <w:rPr>
                <w:rFonts w:ascii="Arial Mäori" w:eastAsiaTheme="minorHAnsi" w:hAnsi="Arial Mäori" w:cs="Calibri"/>
                <w:sz w:val="20"/>
              </w:rPr>
            </w:pPr>
            <w:r>
              <w:rPr>
                <w:rFonts w:ascii="Arial Mäori" w:hAnsi="Arial Mäori"/>
                <w:sz w:val="20"/>
              </w:rPr>
              <w:t>-</w:t>
            </w:r>
          </w:p>
          <w:p w:rsidR="00767CD5" w:rsidRDefault="00767CD5">
            <w:pPr>
              <w:jc w:val="right"/>
              <w:rPr>
                <w:rFonts w:ascii="Arial Mäori" w:eastAsiaTheme="minorHAnsi" w:hAnsi="Arial Mäori" w:cs="Calibri"/>
                <w:sz w:val="20"/>
              </w:rPr>
            </w:pPr>
            <w:r>
              <w:rPr>
                <w:rFonts w:ascii="Arial Mäori" w:hAnsi="Arial Mäori"/>
                <w:sz w:val="20"/>
              </w:rPr>
              <w:t>-</w:t>
            </w:r>
          </w:p>
        </w:tc>
      </w:tr>
      <w:tr w:rsidR="00767CD5" w:rsidTr="007F02FB">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7CD5" w:rsidRDefault="00767CD5">
            <w:pPr>
              <w:rPr>
                <w:rFonts w:ascii="Arial Mäori" w:eastAsiaTheme="minorHAnsi" w:hAnsi="Arial Mäori" w:cs="Calibri"/>
                <w:b/>
                <w:bCs/>
                <w:sz w:val="20"/>
              </w:rPr>
            </w:pPr>
            <w:r>
              <w:rPr>
                <w:rFonts w:ascii="Arial Mäori" w:hAnsi="Arial Mäori"/>
                <w:b/>
                <w:bCs/>
                <w:sz w:val="20"/>
              </w:rPr>
              <w:t>Total</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CD5" w:rsidRPr="007E31B5" w:rsidRDefault="0065726B">
            <w:pPr>
              <w:jc w:val="right"/>
              <w:rPr>
                <w:rFonts w:ascii="Arial Mäori" w:eastAsiaTheme="minorHAnsi" w:hAnsi="Arial Mäori" w:cs="Calibri"/>
                <w:b/>
                <w:bCs/>
                <w:sz w:val="20"/>
              </w:rPr>
            </w:pPr>
            <w:r w:rsidRPr="007E31B5">
              <w:rPr>
                <w:rFonts w:ascii="Arial Mäori" w:hAnsi="Arial Mäori"/>
                <w:b/>
                <w:sz w:val="20"/>
              </w:rPr>
              <w:t>1.500</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CD5" w:rsidRPr="007E31B5" w:rsidRDefault="0065726B">
            <w:pPr>
              <w:jc w:val="right"/>
              <w:rPr>
                <w:rFonts w:ascii="Arial Mäori" w:eastAsiaTheme="minorHAnsi" w:hAnsi="Arial Mäori" w:cs="Calibri"/>
                <w:b/>
                <w:bCs/>
                <w:sz w:val="20"/>
              </w:rPr>
            </w:pPr>
            <w:r w:rsidRPr="007E31B5">
              <w:rPr>
                <w:rFonts w:ascii="Arial Mäori" w:hAnsi="Arial Mäori"/>
                <w:b/>
                <w:sz w:val="20"/>
              </w:rPr>
              <w:t>1.500</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CD5" w:rsidRPr="007E31B5" w:rsidRDefault="0065726B">
            <w:pPr>
              <w:jc w:val="right"/>
              <w:rPr>
                <w:rFonts w:ascii="Arial Mäori" w:eastAsiaTheme="minorHAnsi" w:hAnsi="Arial Mäori" w:cs="Calibri"/>
                <w:b/>
                <w:bCs/>
                <w:sz w:val="20"/>
              </w:rPr>
            </w:pPr>
            <w:r w:rsidRPr="007E31B5">
              <w:rPr>
                <w:rFonts w:ascii="Arial Mäori" w:hAnsi="Arial Mäori"/>
                <w:b/>
                <w:sz w:val="20"/>
              </w:rPr>
              <w:t>1.500</w:t>
            </w:r>
          </w:p>
        </w:tc>
        <w:tc>
          <w:tcPr>
            <w:tcW w:w="3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CD5" w:rsidRPr="007E31B5" w:rsidRDefault="0065726B">
            <w:pPr>
              <w:jc w:val="right"/>
              <w:rPr>
                <w:rFonts w:ascii="Arial Mäori" w:eastAsiaTheme="minorHAnsi" w:hAnsi="Arial Mäori" w:cs="Calibri"/>
                <w:b/>
                <w:bCs/>
                <w:sz w:val="20"/>
              </w:rPr>
            </w:pPr>
            <w:r w:rsidRPr="007E31B5">
              <w:rPr>
                <w:rFonts w:ascii="Arial Mäori" w:hAnsi="Arial Mäori"/>
                <w:b/>
                <w:sz w:val="20"/>
              </w:rPr>
              <w:t>1.500</w:t>
            </w:r>
          </w:p>
        </w:tc>
      </w:tr>
    </w:tbl>
    <w:p w:rsidR="00380E6F" w:rsidRPr="00627379" w:rsidRDefault="00380E6F" w:rsidP="00627379">
      <w:pPr>
        <w:pStyle w:val="RecNumbering"/>
        <w:numPr>
          <w:ilvl w:val="0"/>
          <w:numId w:val="0"/>
        </w:numPr>
        <w:ind w:left="493"/>
        <w:rPr>
          <w:b/>
        </w:rPr>
      </w:pPr>
      <w:r w:rsidRPr="00627379">
        <w:rPr>
          <w:b/>
        </w:rPr>
        <w:t>Next Steps</w:t>
      </w:r>
    </w:p>
    <w:p w:rsidR="00DD7632" w:rsidRDefault="00767CD5" w:rsidP="00DD7632">
      <w:pPr>
        <w:pStyle w:val="RecNumbering"/>
      </w:pPr>
      <w:r>
        <w:rPr>
          <w:b/>
        </w:rPr>
        <w:t xml:space="preserve">agree </w:t>
      </w:r>
      <w:r w:rsidRPr="00767CD5">
        <w:t>that</w:t>
      </w:r>
      <w:r w:rsidR="00380E6F" w:rsidRPr="00767CD5">
        <w:t xml:space="preserve"> </w:t>
      </w:r>
      <w:r w:rsidR="00380E6F">
        <w:t xml:space="preserve">the </w:t>
      </w:r>
      <w:r w:rsidR="00B71F33">
        <w:t>Office for Disability Issues</w:t>
      </w:r>
      <w:r w:rsidR="00380E6F">
        <w:t xml:space="preserve"> begin seeking nomi</w:t>
      </w:r>
      <w:r w:rsidR="00627379">
        <w:t xml:space="preserve">nations for the advisory board </w:t>
      </w:r>
    </w:p>
    <w:p w:rsidR="005A13B0" w:rsidRDefault="00DD7632" w:rsidP="00DD7632">
      <w:pPr>
        <w:pStyle w:val="RecNumbering"/>
      </w:pPr>
      <w:r w:rsidRPr="00897922">
        <w:rPr>
          <w:b/>
        </w:rPr>
        <w:t>direct</w:t>
      </w:r>
      <w:r>
        <w:t xml:space="preserve"> the Ministry of Social Development to complete a review of the effectiveness of the advisory board by December 2017 </w:t>
      </w:r>
    </w:p>
    <w:p w:rsidR="00D12C54" w:rsidRDefault="00D12C54" w:rsidP="00D95D97"/>
    <w:tbl>
      <w:tblPr>
        <w:tblW w:w="9606" w:type="dxa"/>
        <w:tblLayout w:type="fixed"/>
        <w:tblLook w:val="0000" w:firstRow="0" w:lastRow="0" w:firstColumn="0" w:lastColumn="0" w:noHBand="0" w:noVBand="0"/>
      </w:tblPr>
      <w:tblGrid>
        <w:gridCol w:w="9606"/>
      </w:tblGrid>
      <w:tr w:rsidR="008F1140">
        <w:trPr>
          <w:trHeight w:val="1134"/>
        </w:trPr>
        <w:tc>
          <w:tcPr>
            <w:tcW w:w="9606" w:type="dxa"/>
          </w:tcPr>
          <w:p w:rsidR="008F1140" w:rsidRDefault="008F1140">
            <w:pPr>
              <w:keepNext/>
              <w:tabs>
                <w:tab w:val="left" w:leader="underscore" w:pos="885"/>
                <w:tab w:val="left" w:leader="underscore" w:pos="1877"/>
              </w:tabs>
            </w:pPr>
          </w:p>
        </w:tc>
      </w:tr>
      <w:tr w:rsidR="008F1140">
        <w:tc>
          <w:tcPr>
            <w:tcW w:w="9606" w:type="dxa"/>
          </w:tcPr>
          <w:p w:rsidR="008F1140" w:rsidRPr="00747AC8" w:rsidRDefault="00D96320">
            <w:pPr>
              <w:keepNext/>
            </w:pPr>
            <w:bookmarkStart w:id="5" w:name="bkmMinName"/>
            <w:r w:rsidRPr="00747AC8">
              <w:t>Hon Tariana Turia</w:t>
            </w:r>
            <w:bookmarkEnd w:id="5"/>
          </w:p>
          <w:p w:rsidR="008F1140" w:rsidRPr="00747AC8" w:rsidRDefault="00D96320">
            <w:pPr>
              <w:keepNext/>
            </w:pPr>
            <w:bookmarkStart w:id="6" w:name="bkmMinPort"/>
            <w:r w:rsidRPr="00747AC8">
              <w:t>Minister for Disability Issues</w:t>
            </w:r>
            <w:bookmarkEnd w:id="6"/>
          </w:p>
        </w:tc>
      </w:tr>
    </w:tbl>
    <w:p w:rsidR="008F1140" w:rsidRDefault="008F1140"/>
    <w:p w:rsidR="006C441D" w:rsidRDefault="006C441D"/>
    <w:p w:rsidR="000F3269" w:rsidRDefault="006C441D" w:rsidP="00A87939">
      <w:r>
        <w:t>______ / ______ / ______</w:t>
      </w:r>
    </w:p>
    <w:sectPr w:rsidR="000F3269" w:rsidSect="00913F36">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95" w:rsidRDefault="00110195">
      <w:r>
        <w:separator/>
      </w:r>
    </w:p>
  </w:endnote>
  <w:endnote w:type="continuationSeparator" w:id="0">
    <w:p w:rsidR="00110195" w:rsidRDefault="0011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E3" w:rsidRDefault="000A6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72813"/>
      <w:docPartObj>
        <w:docPartGallery w:val="Page Numbers (Bottom of Page)"/>
        <w:docPartUnique/>
      </w:docPartObj>
    </w:sdtPr>
    <w:sdtEndPr>
      <w:rPr>
        <w:noProof/>
      </w:rPr>
    </w:sdtEndPr>
    <w:sdtContent>
      <w:p w:rsidR="000A6DE3" w:rsidRDefault="000A6DE3">
        <w:pPr>
          <w:pStyle w:val="Footer"/>
          <w:jc w:val="right"/>
        </w:pPr>
        <w:r>
          <w:fldChar w:fldCharType="begin"/>
        </w:r>
        <w:r>
          <w:instrText xml:space="preserve"> PAGE   \* MERGEFORMAT </w:instrText>
        </w:r>
        <w:r>
          <w:fldChar w:fldCharType="separate"/>
        </w:r>
        <w:r w:rsidR="0014226C">
          <w:rPr>
            <w:noProof/>
          </w:rPr>
          <w:t>1</w:t>
        </w:r>
        <w:r>
          <w:rPr>
            <w:noProof/>
          </w:rPr>
          <w:fldChar w:fldCharType="end"/>
        </w:r>
      </w:p>
    </w:sdtContent>
  </w:sdt>
  <w:p w:rsidR="000A6DE3" w:rsidRDefault="000A6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E3" w:rsidRDefault="000A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95" w:rsidRDefault="00110195">
      <w:r>
        <w:separator/>
      </w:r>
    </w:p>
  </w:footnote>
  <w:footnote w:type="continuationSeparator" w:id="0">
    <w:p w:rsidR="00110195" w:rsidRDefault="00110195">
      <w:r>
        <w:continuationSeparator/>
      </w:r>
    </w:p>
  </w:footnote>
  <w:footnote w:id="1">
    <w:p w:rsidR="00C77351" w:rsidRDefault="00C77351" w:rsidP="00C77351">
      <w:pPr>
        <w:pStyle w:val="FootnoteText"/>
      </w:pPr>
      <w:r>
        <w:rPr>
          <w:rStyle w:val="FootnoteReference"/>
        </w:rPr>
        <w:footnoteRef/>
      </w:r>
      <w:r>
        <w:t xml:space="preserve"> Statistics New Zealand 2013 Census totals by topic</w:t>
      </w:r>
      <w:r w:rsidR="00325775">
        <w:t>.</w:t>
      </w:r>
    </w:p>
  </w:footnote>
  <w:footnote w:id="2">
    <w:p w:rsidR="00390B9E" w:rsidRDefault="00390B9E" w:rsidP="00390B9E">
      <w:pPr>
        <w:pStyle w:val="FootnoteText"/>
      </w:pPr>
      <w:r>
        <w:rPr>
          <w:rStyle w:val="FootnoteReference"/>
        </w:rPr>
        <w:footnoteRef/>
      </w:r>
      <w:r>
        <w:t xml:space="preserve"> Refer to S.9(1) through to S.9(3) of the New Zealand Sign Language Act 2006</w:t>
      </w:r>
    </w:p>
  </w:footnote>
  <w:footnote w:id="3">
    <w:p w:rsidR="006961B7" w:rsidRDefault="006961B7" w:rsidP="00B31A0C">
      <w:pPr>
        <w:pStyle w:val="FootnoteText"/>
        <w:jc w:val="left"/>
      </w:pPr>
      <w:r>
        <w:rPr>
          <w:rStyle w:val="FootnoteReference"/>
        </w:rPr>
        <w:footnoteRef/>
      </w:r>
      <w:r>
        <w:t xml:space="preserve"> </w:t>
      </w:r>
      <w:r w:rsidRPr="006961B7">
        <w:t>Deaf M</w:t>
      </w:r>
      <w:r w:rsidRPr="006961B7">
        <w:rPr>
          <w:rFonts w:ascii="Arial" w:hAnsi="Arial" w:cs="Arial"/>
        </w:rPr>
        <w:t>ā</w:t>
      </w:r>
      <w:r w:rsidRPr="006961B7">
        <w:t>ori</w:t>
      </w:r>
      <w:r w:rsidR="005F5C93">
        <w:t xml:space="preserve"> represent approximately 30 per</w:t>
      </w:r>
      <w:r w:rsidR="00B31A0C">
        <w:t xml:space="preserve"> </w:t>
      </w:r>
      <w:r w:rsidRPr="006961B7">
        <w:t>cen</w:t>
      </w:r>
      <w:r w:rsidR="005F5C93">
        <w:t>t of the deaf community with 39 per</w:t>
      </w:r>
      <w:r w:rsidR="00B31A0C">
        <w:t xml:space="preserve"> </w:t>
      </w:r>
      <w:r w:rsidR="005F5C93">
        <w:t>cent</w:t>
      </w:r>
      <w:r w:rsidRPr="006961B7">
        <w:t xml:space="preserve"> of </w:t>
      </w:r>
      <w:r w:rsidR="005F5C93">
        <w:t xml:space="preserve">deaf </w:t>
      </w:r>
      <w:r w:rsidRPr="006961B7">
        <w:t xml:space="preserve">people under the age of 19 </w:t>
      </w:r>
      <w:r w:rsidR="00B31A0C">
        <w:t>being</w:t>
      </w:r>
      <w:r w:rsidRPr="006961B7">
        <w:t xml:space="preserve"> M</w:t>
      </w:r>
      <w:r w:rsidRPr="006961B7">
        <w:rPr>
          <w:rFonts w:ascii="Arial" w:hAnsi="Arial" w:cs="Arial"/>
        </w:rPr>
        <w:t>ā</w:t>
      </w:r>
      <w:r w:rsidRPr="006961B7">
        <w:t>ori (Statistics New Zealand,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E3" w:rsidRDefault="000A6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E3" w:rsidRDefault="000A6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E3" w:rsidRDefault="000A6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4CC3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F30EF250"/>
    <w:lvl w:ilvl="0">
      <w:start w:val="1"/>
      <w:numFmt w:val="decimal"/>
      <w:pStyle w:val="ListNumber"/>
      <w:lvlText w:val="%1"/>
      <w:lvlJc w:val="left"/>
      <w:pPr>
        <w:tabs>
          <w:tab w:val="num" w:pos="567"/>
        </w:tabs>
        <w:ind w:left="567" w:hanging="567"/>
      </w:pPr>
      <w:rPr>
        <w:rFonts w:hint="default"/>
      </w:rPr>
    </w:lvl>
  </w:abstractNum>
  <w:abstractNum w:abstractNumId="2">
    <w:nsid w:val="FFFFFF89"/>
    <w:multiLevelType w:val="singleLevel"/>
    <w:tmpl w:val="E3C6AAA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C2453E"/>
    <w:multiLevelType w:val="multilevel"/>
    <w:tmpl w:val="75CC8EFE"/>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nsid w:val="0193230B"/>
    <w:multiLevelType w:val="hybridMultilevel"/>
    <w:tmpl w:val="309A0FD8"/>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5">
    <w:nsid w:val="02F529FE"/>
    <w:multiLevelType w:val="hybridMultilevel"/>
    <w:tmpl w:val="71FEAA0C"/>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6">
    <w:nsid w:val="05025707"/>
    <w:multiLevelType w:val="hybridMultilevel"/>
    <w:tmpl w:val="D57A2F1C"/>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7">
    <w:nsid w:val="078A6D75"/>
    <w:multiLevelType w:val="hybridMultilevel"/>
    <w:tmpl w:val="E3C8F444"/>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8">
    <w:nsid w:val="08B12731"/>
    <w:multiLevelType w:val="hybridMultilevel"/>
    <w:tmpl w:val="8B060A8A"/>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9">
    <w:nsid w:val="18396520"/>
    <w:multiLevelType w:val="hybridMultilevel"/>
    <w:tmpl w:val="7402CA96"/>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0">
    <w:nsid w:val="27CD1E8F"/>
    <w:multiLevelType w:val="hybridMultilevel"/>
    <w:tmpl w:val="F7A4E65E"/>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1">
    <w:nsid w:val="309A336C"/>
    <w:multiLevelType w:val="hybridMultilevel"/>
    <w:tmpl w:val="DB96BA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345D1A69"/>
    <w:multiLevelType w:val="hybridMultilevel"/>
    <w:tmpl w:val="BB5C5534"/>
    <w:lvl w:ilvl="0" w:tplc="14090001">
      <w:start w:val="1"/>
      <w:numFmt w:val="bullet"/>
      <w:lvlText w:val=""/>
      <w:lvlJc w:val="left"/>
      <w:pPr>
        <w:ind w:left="1275" w:hanging="360"/>
      </w:pPr>
      <w:rPr>
        <w:rFonts w:ascii="Symbol" w:hAnsi="Symbol" w:hint="default"/>
      </w:rPr>
    </w:lvl>
    <w:lvl w:ilvl="1" w:tplc="14090003" w:tentative="1">
      <w:start w:val="1"/>
      <w:numFmt w:val="bullet"/>
      <w:lvlText w:val="o"/>
      <w:lvlJc w:val="left"/>
      <w:pPr>
        <w:ind w:left="1995" w:hanging="360"/>
      </w:pPr>
      <w:rPr>
        <w:rFonts w:ascii="Courier New" w:hAnsi="Courier New" w:cs="Courier New" w:hint="default"/>
      </w:rPr>
    </w:lvl>
    <w:lvl w:ilvl="2" w:tplc="14090005" w:tentative="1">
      <w:start w:val="1"/>
      <w:numFmt w:val="bullet"/>
      <w:lvlText w:val=""/>
      <w:lvlJc w:val="left"/>
      <w:pPr>
        <w:ind w:left="2715" w:hanging="360"/>
      </w:pPr>
      <w:rPr>
        <w:rFonts w:ascii="Wingdings" w:hAnsi="Wingdings" w:hint="default"/>
      </w:rPr>
    </w:lvl>
    <w:lvl w:ilvl="3" w:tplc="14090001" w:tentative="1">
      <w:start w:val="1"/>
      <w:numFmt w:val="bullet"/>
      <w:lvlText w:val=""/>
      <w:lvlJc w:val="left"/>
      <w:pPr>
        <w:ind w:left="3435" w:hanging="360"/>
      </w:pPr>
      <w:rPr>
        <w:rFonts w:ascii="Symbol" w:hAnsi="Symbol" w:hint="default"/>
      </w:rPr>
    </w:lvl>
    <w:lvl w:ilvl="4" w:tplc="14090003" w:tentative="1">
      <w:start w:val="1"/>
      <w:numFmt w:val="bullet"/>
      <w:lvlText w:val="o"/>
      <w:lvlJc w:val="left"/>
      <w:pPr>
        <w:ind w:left="4155" w:hanging="360"/>
      </w:pPr>
      <w:rPr>
        <w:rFonts w:ascii="Courier New" w:hAnsi="Courier New" w:cs="Courier New" w:hint="default"/>
      </w:rPr>
    </w:lvl>
    <w:lvl w:ilvl="5" w:tplc="14090005" w:tentative="1">
      <w:start w:val="1"/>
      <w:numFmt w:val="bullet"/>
      <w:lvlText w:val=""/>
      <w:lvlJc w:val="left"/>
      <w:pPr>
        <w:ind w:left="4875" w:hanging="360"/>
      </w:pPr>
      <w:rPr>
        <w:rFonts w:ascii="Wingdings" w:hAnsi="Wingdings" w:hint="default"/>
      </w:rPr>
    </w:lvl>
    <w:lvl w:ilvl="6" w:tplc="14090001" w:tentative="1">
      <w:start w:val="1"/>
      <w:numFmt w:val="bullet"/>
      <w:lvlText w:val=""/>
      <w:lvlJc w:val="left"/>
      <w:pPr>
        <w:ind w:left="5595" w:hanging="360"/>
      </w:pPr>
      <w:rPr>
        <w:rFonts w:ascii="Symbol" w:hAnsi="Symbol" w:hint="default"/>
      </w:rPr>
    </w:lvl>
    <w:lvl w:ilvl="7" w:tplc="14090003" w:tentative="1">
      <w:start w:val="1"/>
      <w:numFmt w:val="bullet"/>
      <w:lvlText w:val="o"/>
      <w:lvlJc w:val="left"/>
      <w:pPr>
        <w:ind w:left="6315" w:hanging="360"/>
      </w:pPr>
      <w:rPr>
        <w:rFonts w:ascii="Courier New" w:hAnsi="Courier New" w:cs="Courier New" w:hint="default"/>
      </w:rPr>
    </w:lvl>
    <w:lvl w:ilvl="8" w:tplc="14090005" w:tentative="1">
      <w:start w:val="1"/>
      <w:numFmt w:val="bullet"/>
      <w:lvlText w:val=""/>
      <w:lvlJc w:val="left"/>
      <w:pPr>
        <w:ind w:left="7035" w:hanging="360"/>
      </w:pPr>
      <w:rPr>
        <w:rFonts w:ascii="Wingdings" w:hAnsi="Wingdings" w:hint="default"/>
      </w:rPr>
    </w:lvl>
  </w:abstractNum>
  <w:abstractNum w:abstractNumId="13">
    <w:nsid w:val="3BCD6817"/>
    <w:multiLevelType w:val="hybridMultilevel"/>
    <w:tmpl w:val="F05A617E"/>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4">
    <w:nsid w:val="416E625A"/>
    <w:multiLevelType w:val="hybridMultilevel"/>
    <w:tmpl w:val="C7BAAD6C"/>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5">
    <w:nsid w:val="4662735D"/>
    <w:multiLevelType w:val="hybridMultilevel"/>
    <w:tmpl w:val="BECC413E"/>
    <w:lvl w:ilvl="0" w:tplc="E200A7C4">
      <w:start w:val="1"/>
      <w:numFmt w:val="bullet"/>
      <w:pStyle w:val="Bullet2"/>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2427"/>
        </w:tabs>
        <w:ind w:left="2427" w:hanging="360"/>
      </w:pPr>
      <w:rPr>
        <w:rFonts w:ascii="Courier New" w:hAnsi="Courier New" w:cs="Courier New" w:hint="default"/>
      </w:rPr>
    </w:lvl>
    <w:lvl w:ilvl="2" w:tplc="04090005" w:tentative="1">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cs="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cs="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16">
    <w:nsid w:val="47596961"/>
    <w:multiLevelType w:val="hybridMultilevel"/>
    <w:tmpl w:val="1BFE5156"/>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7">
    <w:nsid w:val="4B356886"/>
    <w:multiLevelType w:val="hybridMultilevel"/>
    <w:tmpl w:val="3272B1D0"/>
    <w:lvl w:ilvl="0" w:tplc="14090001">
      <w:start w:val="1"/>
      <w:numFmt w:val="bullet"/>
      <w:lvlText w:val=""/>
      <w:lvlJc w:val="left"/>
      <w:pPr>
        <w:ind w:left="1707" w:hanging="360"/>
      </w:pPr>
      <w:rPr>
        <w:rFonts w:ascii="Symbol" w:hAnsi="Symbol" w:hint="default"/>
      </w:rPr>
    </w:lvl>
    <w:lvl w:ilvl="1" w:tplc="14090003" w:tentative="1">
      <w:start w:val="1"/>
      <w:numFmt w:val="bullet"/>
      <w:lvlText w:val="o"/>
      <w:lvlJc w:val="left"/>
      <w:pPr>
        <w:ind w:left="2427" w:hanging="360"/>
      </w:pPr>
      <w:rPr>
        <w:rFonts w:ascii="Courier New" w:hAnsi="Courier New" w:cs="Courier New" w:hint="default"/>
      </w:rPr>
    </w:lvl>
    <w:lvl w:ilvl="2" w:tplc="14090005" w:tentative="1">
      <w:start w:val="1"/>
      <w:numFmt w:val="bullet"/>
      <w:lvlText w:val=""/>
      <w:lvlJc w:val="left"/>
      <w:pPr>
        <w:ind w:left="3147" w:hanging="360"/>
      </w:pPr>
      <w:rPr>
        <w:rFonts w:ascii="Wingdings" w:hAnsi="Wingdings" w:hint="default"/>
      </w:rPr>
    </w:lvl>
    <w:lvl w:ilvl="3" w:tplc="14090001" w:tentative="1">
      <w:start w:val="1"/>
      <w:numFmt w:val="bullet"/>
      <w:lvlText w:val=""/>
      <w:lvlJc w:val="left"/>
      <w:pPr>
        <w:ind w:left="3867" w:hanging="360"/>
      </w:pPr>
      <w:rPr>
        <w:rFonts w:ascii="Symbol" w:hAnsi="Symbol" w:hint="default"/>
      </w:rPr>
    </w:lvl>
    <w:lvl w:ilvl="4" w:tplc="14090003" w:tentative="1">
      <w:start w:val="1"/>
      <w:numFmt w:val="bullet"/>
      <w:lvlText w:val="o"/>
      <w:lvlJc w:val="left"/>
      <w:pPr>
        <w:ind w:left="4587" w:hanging="360"/>
      </w:pPr>
      <w:rPr>
        <w:rFonts w:ascii="Courier New" w:hAnsi="Courier New" w:cs="Courier New" w:hint="default"/>
      </w:rPr>
    </w:lvl>
    <w:lvl w:ilvl="5" w:tplc="14090005" w:tentative="1">
      <w:start w:val="1"/>
      <w:numFmt w:val="bullet"/>
      <w:lvlText w:val=""/>
      <w:lvlJc w:val="left"/>
      <w:pPr>
        <w:ind w:left="5307" w:hanging="360"/>
      </w:pPr>
      <w:rPr>
        <w:rFonts w:ascii="Wingdings" w:hAnsi="Wingdings" w:hint="default"/>
      </w:rPr>
    </w:lvl>
    <w:lvl w:ilvl="6" w:tplc="14090001" w:tentative="1">
      <w:start w:val="1"/>
      <w:numFmt w:val="bullet"/>
      <w:lvlText w:val=""/>
      <w:lvlJc w:val="left"/>
      <w:pPr>
        <w:ind w:left="6027" w:hanging="360"/>
      </w:pPr>
      <w:rPr>
        <w:rFonts w:ascii="Symbol" w:hAnsi="Symbol" w:hint="default"/>
      </w:rPr>
    </w:lvl>
    <w:lvl w:ilvl="7" w:tplc="14090003" w:tentative="1">
      <w:start w:val="1"/>
      <w:numFmt w:val="bullet"/>
      <w:lvlText w:val="o"/>
      <w:lvlJc w:val="left"/>
      <w:pPr>
        <w:ind w:left="6747" w:hanging="360"/>
      </w:pPr>
      <w:rPr>
        <w:rFonts w:ascii="Courier New" w:hAnsi="Courier New" w:cs="Courier New" w:hint="default"/>
      </w:rPr>
    </w:lvl>
    <w:lvl w:ilvl="8" w:tplc="14090005" w:tentative="1">
      <w:start w:val="1"/>
      <w:numFmt w:val="bullet"/>
      <w:lvlText w:val=""/>
      <w:lvlJc w:val="left"/>
      <w:pPr>
        <w:ind w:left="7467" w:hanging="360"/>
      </w:pPr>
      <w:rPr>
        <w:rFonts w:ascii="Wingdings" w:hAnsi="Wingdings" w:hint="default"/>
      </w:rPr>
    </w:lvl>
  </w:abstractNum>
  <w:abstractNum w:abstractNumId="18">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9">
    <w:nsid w:val="521D66E7"/>
    <w:multiLevelType w:val="hybridMultilevel"/>
    <w:tmpl w:val="0C4C02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nsid w:val="580613BE"/>
    <w:multiLevelType w:val="hybridMultilevel"/>
    <w:tmpl w:val="491AD3AC"/>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21">
    <w:nsid w:val="59F54BCE"/>
    <w:multiLevelType w:val="multilevel"/>
    <w:tmpl w:val="DB3C30F8"/>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22">
    <w:nsid w:val="5ADA139A"/>
    <w:multiLevelType w:val="hybridMultilevel"/>
    <w:tmpl w:val="B6F6A9C0"/>
    <w:lvl w:ilvl="0" w:tplc="814A6F34">
      <w:start w:val="1"/>
      <w:numFmt w:val="bullet"/>
      <w:pStyle w:val="Bullet1"/>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9035B7"/>
    <w:multiLevelType w:val="hybridMultilevel"/>
    <w:tmpl w:val="B6C4F170"/>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24">
    <w:nsid w:val="64C77B7A"/>
    <w:multiLevelType w:val="hybridMultilevel"/>
    <w:tmpl w:val="7766FF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nsid w:val="64E74A7A"/>
    <w:multiLevelType w:val="hybridMultilevel"/>
    <w:tmpl w:val="F998D00E"/>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26">
    <w:nsid w:val="66C60499"/>
    <w:multiLevelType w:val="hybridMultilevel"/>
    <w:tmpl w:val="001A2164"/>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27">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7FD9091E"/>
    <w:multiLevelType w:val="hybridMultilevel"/>
    <w:tmpl w:val="F9DCF8D2"/>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num w:numId="1">
    <w:abstractNumId w:val="18"/>
  </w:num>
  <w:num w:numId="2">
    <w:abstractNumId w:val="3"/>
  </w:num>
  <w:num w:numId="3">
    <w:abstractNumId w:val="27"/>
  </w:num>
  <w:num w:numId="4">
    <w:abstractNumId w:val="21"/>
  </w:num>
  <w:num w:numId="5">
    <w:abstractNumId w:val="21"/>
    <w:lvlOverride w:ilvl="0">
      <w:lvl w:ilvl="0">
        <w:start w:val="1"/>
        <w:numFmt w:val="decimal"/>
        <w:pStyle w:val="BodyText"/>
        <w:lvlText w:val="%1"/>
        <w:lvlJc w:val="left"/>
        <w:pPr>
          <w:tabs>
            <w:tab w:val="num" w:pos="494"/>
          </w:tabs>
          <w:ind w:left="494" w:hanging="494"/>
        </w:pPr>
        <w:rPr>
          <w:rFonts w:hint="default"/>
          <w:i w:val="0"/>
        </w:rPr>
      </w:lvl>
    </w:lvlOverride>
  </w:num>
  <w:num w:numId="6">
    <w:abstractNumId w:val="22"/>
  </w:num>
  <w:num w:numId="7">
    <w:abstractNumId w:val="15"/>
  </w:num>
  <w:num w:numId="8">
    <w:abstractNumId w:val="2"/>
  </w:num>
  <w:num w:numId="9">
    <w:abstractNumId w:val="0"/>
  </w:num>
  <w:num w:numId="10">
    <w:abstractNumId w:val="1"/>
  </w:num>
  <w:num w:numId="11">
    <w:abstractNumId w:val="17"/>
  </w:num>
  <w:num w:numId="12">
    <w:abstractNumId w:val="16"/>
  </w:num>
  <w:num w:numId="13">
    <w:abstractNumId w:val="28"/>
  </w:num>
  <w:num w:numId="14">
    <w:abstractNumId w:val="6"/>
  </w:num>
  <w:num w:numId="15">
    <w:abstractNumId w:val="26"/>
  </w:num>
  <w:num w:numId="16">
    <w:abstractNumId w:val="12"/>
  </w:num>
  <w:num w:numId="17">
    <w:abstractNumId w:val="7"/>
  </w:num>
  <w:num w:numId="18">
    <w:abstractNumId w:val="23"/>
  </w:num>
  <w:num w:numId="19">
    <w:abstractNumId w:val="4"/>
  </w:num>
  <w:num w:numId="20">
    <w:abstractNumId w:val="9"/>
  </w:num>
  <w:num w:numId="21">
    <w:abstractNumId w:val="19"/>
  </w:num>
  <w:num w:numId="22">
    <w:abstractNumId w:val="14"/>
  </w:num>
  <w:num w:numId="23">
    <w:abstractNumId w:val="20"/>
  </w:num>
  <w:num w:numId="24">
    <w:abstractNumId w:val="5"/>
  </w:num>
  <w:num w:numId="25">
    <w:abstractNumId w:val="25"/>
  </w:num>
  <w:num w:numId="26">
    <w:abstractNumId w:val="10"/>
  </w:num>
  <w:num w:numId="27">
    <w:abstractNumId w:val="24"/>
  </w:num>
  <w:num w:numId="28">
    <w:abstractNumId w:val="13"/>
  </w:num>
  <w:num w:numId="29">
    <w:abstractNumId w:val="8"/>
  </w:num>
  <w:num w:numId="30">
    <w:abstractNumId w:val="21"/>
    <w:lvlOverride w:ilvl="0">
      <w:lvl w:ilvl="0">
        <w:start w:val="1"/>
        <w:numFmt w:val="decimal"/>
        <w:pStyle w:val="BodyText"/>
        <w:lvlText w:val="%1"/>
        <w:lvlJc w:val="left"/>
        <w:pPr>
          <w:tabs>
            <w:tab w:val="num" w:pos="494"/>
          </w:tabs>
          <w:ind w:left="494" w:hanging="494"/>
        </w:pPr>
        <w:rPr>
          <w:rFonts w:hint="default"/>
          <w:i w:val="0"/>
        </w:rPr>
      </w:lvl>
    </w:lvlOverride>
  </w:num>
  <w:num w:numId="31">
    <w:abstractNumId w:val="21"/>
    <w:lvlOverride w:ilvl="0">
      <w:lvl w:ilvl="0">
        <w:start w:val="1"/>
        <w:numFmt w:val="decimal"/>
        <w:pStyle w:val="BodyText"/>
        <w:lvlText w:val="%1"/>
        <w:lvlJc w:val="left"/>
        <w:pPr>
          <w:tabs>
            <w:tab w:val="num" w:pos="494"/>
          </w:tabs>
          <w:ind w:left="494" w:hanging="494"/>
        </w:pPr>
        <w:rPr>
          <w:rFonts w:hint="default"/>
          <w:i w:val="0"/>
        </w:rPr>
      </w:lvl>
    </w:lvlOverride>
  </w:num>
  <w:num w:numId="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NZ" w:vendorID="8" w:dllVersion="513" w:checkStyle="1"/>
  <w:activeWritingStyle w:appName="MSWord" w:lang="en-GB" w:vendorID="8" w:dllVersion="513" w:checkStyle="1"/>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20"/>
    <w:rsid w:val="0000206B"/>
    <w:rsid w:val="00005729"/>
    <w:rsid w:val="000064C2"/>
    <w:rsid w:val="0001360E"/>
    <w:rsid w:val="00014872"/>
    <w:rsid w:val="00016F57"/>
    <w:rsid w:val="00017EF7"/>
    <w:rsid w:val="00032242"/>
    <w:rsid w:val="00034523"/>
    <w:rsid w:val="00036757"/>
    <w:rsid w:val="00040CCF"/>
    <w:rsid w:val="000578C2"/>
    <w:rsid w:val="00061D35"/>
    <w:rsid w:val="00077CFA"/>
    <w:rsid w:val="0008125A"/>
    <w:rsid w:val="000816B2"/>
    <w:rsid w:val="000A5F57"/>
    <w:rsid w:val="000A6DE3"/>
    <w:rsid w:val="000C27CE"/>
    <w:rsid w:val="000C71F3"/>
    <w:rsid w:val="000C7617"/>
    <w:rsid w:val="000D448F"/>
    <w:rsid w:val="000E01F5"/>
    <w:rsid w:val="000F3269"/>
    <w:rsid w:val="00101F4F"/>
    <w:rsid w:val="0010300C"/>
    <w:rsid w:val="001051CC"/>
    <w:rsid w:val="00110195"/>
    <w:rsid w:val="00122447"/>
    <w:rsid w:val="00122763"/>
    <w:rsid w:val="001250FE"/>
    <w:rsid w:val="00125E3C"/>
    <w:rsid w:val="001353A5"/>
    <w:rsid w:val="001410CD"/>
    <w:rsid w:val="0014226C"/>
    <w:rsid w:val="001640E4"/>
    <w:rsid w:val="00166967"/>
    <w:rsid w:val="00177A6D"/>
    <w:rsid w:val="00183C9B"/>
    <w:rsid w:val="0019255B"/>
    <w:rsid w:val="001A56D5"/>
    <w:rsid w:val="001B4E9D"/>
    <w:rsid w:val="001C0632"/>
    <w:rsid w:val="001C19E6"/>
    <w:rsid w:val="001D4D36"/>
    <w:rsid w:val="001E6D91"/>
    <w:rsid w:val="002018F3"/>
    <w:rsid w:val="002032DD"/>
    <w:rsid w:val="002033BC"/>
    <w:rsid w:val="00204EEA"/>
    <w:rsid w:val="00205EA7"/>
    <w:rsid w:val="00207CD6"/>
    <w:rsid w:val="00233F51"/>
    <w:rsid w:val="00235D7D"/>
    <w:rsid w:val="00240D1B"/>
    <w:rsid w:val="00257C9B"/>
    <w:rsid w:val="00257D2B"/>
    <w:rsid w:val="0026138D"/>
    <w:rsid w:val="00264D23"/>
    <w:rsid w:val="00267DBF"/>
    <w:rsid w:val="00274342"/>
    <w:rsid w:val="00282C7D"/>
    <w:rsid w:val="002847DE"/>
    <w:rsid w:val="00285679"/>
    <w:rsid w:val="0028721F"/>
    <w:rsid w:val="002906BA"/>
    <w:rsid w:val="0029172E"/>
    <w:rsid w:val="002A161B"/>
    <w:rsid w:val="002A45C6"/>
    <w:rsid w:val="002B7A69"/>
    <w:rsid w:val="002C6173"/>
    <w:rsid w:val="002C7635"/>
    <w:rsid w:val="002D78FD"/>
    <w:rsid w:val="002D7C4D"/>
    <w:rsid w:val="002F1600"/>
    <w:rsid w:val="002F5611"/>
    <w:rsid w:val="002F617C"/>
    <w:rsid w:val="003122B8"/>
    <w:rsid w:val="00315A58"/>
    <w:rsid w:val="003236AA"/>
    <w:rsid w:val="00324EA7"/>
    <w:rsid w:val="00325632"/>
    <w:rsid w:val="00325775"/>
    <w:rsid w:val="003257F4"/>
    <w:rsid w:val="00357075"/>
    <w:rsid w:val="00380E6F"/>
    <w:rsid w:val="00385901"/>
    <w:rsid w:val="00390B9E"/>
    <w:rsid w:val="00391247"/>
    <w:rsid w:val="003A26AB"/>
    <w:rsid w:val="003B0777"/>
    <w:rsid w:val="003B2A5D"/>
    <w:rsid w:val="003D079B"/>
    <w:rsid w:val="003D12A3"/>
    <w:rsid w:val="003D1536"/>
    <w:rsid w:val="003D2297"/>
    <w:rsid w:val="003D2EF0"/>
    <w:rsid w:val="003D66B1"/>
    <w:rsid w:val="003F0267"/>
    <w:rsid w:val="003F727A"/>
    <w:rsid w:val="00401E87"/>
    <w:rsid w:val="00413108"/>
    <w:rsid w:val="004235F5"/>
    <w:rsid w:val="004305CC"/>
    <w:rsid w:val="00436424"/>
    <w:rsid w:val="00437A44"/>
    <w:rsid w:val="00441409"/>
    <w:rsid w:val="0044381D"/>
    <w:rsid w:val="00443D9D"/>
    <w:rsid w:val="00446517"/>
    <w:rsid w:val="00446746"/>
    <w:rsid w:val="00446D5F"/>
    <w:rsid w:val="004514CC"/>
    <w:rsid w:val="00454CE1"/>
    <w:rsid w:val="00457448"/>
    <w:rsid w:val="00467A68"/>
    <w:rsid w:val="00483BD8"/>
    <w:rsid w:val="00484F04"/>
    <w:rsid w:val="004931DA"/>
    <w:rsid w:val="004A576C"/>
    <w:rsid w:val="004A5B07"/>
    <w:rsid w:val="004A75F3"/>
    <w:rsid w:val="004C0B9F"/>
    <w:rsid w:val="004C3A04"/>
    <w:rsid w:val="004C5937"/>
    <w:rsid w:val="004C635D"/>
    <w:rsid w:val="004D049E"/>
    <w:rsid w:val="004D1055"/>
    <w:rsid w:val="004D2D8B"/>
    <w:rsid w:val="004E3C65"/>
    <w:rsid w:val="00506648"/>
    <w:rsid w:val="00514FAA"/>
    <w:rsid w:val="00517877"/>
    <w:rsid w:val="00532396"/>
    <w:rsid w:val="005363C9"/>
    <w:rsid w:val="005446F5"/>
    <w:rsid w:val="0055077B"/>
    <w:rsid w:val="00550CBC"/>
    <w:rsid w:val="00554AF2"/>
    <w:rsid w:val="00580D84"/>
    <w:rsid w:val="00581A73"/>
    <w:rsid w:val="00584B78"/>
    <w:rsid w:val="00586B74"/>
    <w:rsid w:val="00594BDC"/>
    <w:rsid w:val="005A13B0"/>
    <w:rsid w:val="005A1776"/>
    <w:rsid w:val="005A34FE"/>
    <w:rsid w:val="005A369B"/>
    <w:rsid w:val="005B14CC"/>
    <w:rsid w:val="005B2F62"/>
    <w:rsid w:val="005B7B30"/>
    <w:rsid w:val="005C66DB"/>
    <w:rsid w:val="005E0B04"/>
    <w:rsid w:val="005E4566"/>
    <w:rsid w:val="005F5C93"/>
    <w:rsid w:val="00607A23"/>
    <w:rsid w:val="0062494C"/>
    <w:rsid w:val="00625AB5"/>
    <w:rsid w:val="00627379"/>
    <w:rsid w:val="00641B08"/>
    <w:rsid w:val="00642EB5"/>
    <w:rsid w:val="006510FC"/>
    <w:rsid w:val="0065726B"/>
    <w:rsid w:val="006608FD"/>
    <w:rsid w:val="006651BA"/>
    <w:rsid w:val="00670D1E"/>
    <w:rsid w:val="0067415D"/>
    <w:rsid w:val="00676BB9"/>
    <w:rsid w:val="006823C3"/>
    <w:rsid w:val="00683268"/>
    <w:rsid w:val="00686374"/>
    <w:rsid w:val="006961B7"/>
    <w:rsid w:val="006A712D"/>
    <w:rsid w:val="006B3FDD"/>
    <w:rsid w:val="006B511A"/>
    <w:rsid w:val="006B7C54"/>
    <w:rsid w:val="006C2C51"/>
    <w:rsid w:val="006C441D"/>
    <w:rsid w:val="006C6265"/>
    <w:rsid w:val="006D2F77"/>
    <w:rsid w:val="006D4975"/>
    <w:rsid w:val="006D6B82"/>
    <w:rsid w:val="006D6C37"/>
    <w:rsid w:val="006E2F2F"/>
    <w:rsid w:val="006F3D86"/>
    <w:rsid w:val="006F5FF6"/>
    <w:rsid w:val="006F6A04"/>
    <w:rsid w:val="006F70BE"/>
    <w:rsid w:val="007042E2"/>
    <w:rsid w:val="00726132"/>
    <w:rsid w:val="00747AC8"/>
    <w:rsid w:val="00751DA0"/>
    <w:rsid w:val="00765053"/>
    <w:rsid w:val="00765383"/>
    <w:rsid w:val="00767CD5"/>
    <w:rsid w:val="007742FF"/>
    <w:rsid w:val="00774C0B"/>
    <w:rsid w:val="00785D6A"/>
    <w:rsid w:val="0078714C"/>
    <w:rsid w:val="00791B40"/>
    <w:rsid w:val="007A2A2E"/>
    <w:rsid w:val="007B0CAE"/>
    <w:rsid w:val="007B6119"/>
    <w:rsid w:val="007C0D2F"/>
    <w:rsid w:val="007C2AA0"/>
    <w:rsid w:val="007D0E71"/>
    <w:rsid w:val="007E31B5"/>
    <w:rsid w:val="007F02FB"/>
    <w:rsid w:val="007F4AA3"/>
    <w:rsid w:val="007F746A"/>
    <w:rsid w:val="00802684"/>
    <w:rsid w:val="008250BA"/>
    <w:rsid w:val="00826559"/>
    <w:rsid w:val="008469EF"/>
    <w:rsid w:val="00846DDE"/>
    <w:rsid w:val="00847B53"/>
    <w:rsid w:val="00856235"/>
    <w:rsid w:val="00863BC6"/>
    <w:rsid w:val="00863DA8"/>
    <w:rsid w:val="00880561"/>
    <w:rsid w:val="00890C34"/>
    <w:rsid w:val="00893EE4"/>
    <w:rsid w:val="00897922"/>
    <w:rsid w:val="008A7FE2"/>
    <w:rsid w:val="008B091D"/>
    <w:rsid w:val="008B3C65"/>
    <w:rsid w:val="008B5BB0"/>
    <w:rsid w:val="008D3072"/>
    <w:rsid w:val="008D357E"/>
    <w:rsid w:val="008E7DF7"/>
    <w:rsid w:val="008F1140"/>
    <w:rsid w:val="008F1A89"/>
    <w:rsid w:val="008F2AA2"/>
    <w:rsid w:val="008F43DA"/>
    <w:rsid w:val="008F5C66"/>
    <w:rsid w:val="008F64A8"/>
    <w:rsid w:val="00901474"/>
    <w:rsid w:val="009055E9"/>
    <w:rsid w:val="00906500"/>
    <w:rsid w:val="0091080C"/>
    <w:rsid w:val="00912CFA"/>
    <w:rsid w:val="00913F36"/>
    <w:rsid w:val="009153AE"/>
    <w:rsid w:val="009323BF"/>
    <w:rsid w:val="0094270B"/>
    <w:rsid w:val="00945195"/>
    <w:rsid w:val="00950461"/>
    <w:rsid w:val="009566BD"/>
    <w:rsid w:val="00957A7B"/>
    <w:rsid w:val="00961427"/>
    <w:rsid w:val="00970B20"/>
    <w:rsid w:val="00985E36"/>
    <w:rsid w:val="0099310E"/>
    <w:rsid w:val="00996187"/>
    <w:rsid w:val="009B3903"/>
    <w:rsid w:val="009B5BE5"/>
    <w:rsid w:val="009B7B85"/>
    <w:rsid w:val="009D006A"/>
    <w:rsid w:val="009D551A"/>
    <w:rsid w:val="009D7496"/>
    <w:rsid w:val="009E3D86"/>
    <w:rsid w:val="009F05A3"/>
    <w:rsid w:val="00A00B05"/>
    <w:rsid w:val="00A01958"/>
    <w:rsid w:val="00A1489C"/>
    <w:rsid w:val="00A15C66"/>
    <w:rsid w:val="00A168CF"/>
    <w:rsid w:val="00A24645"/>
    <w:rsid w:val="00A32350"/>
    <w:rsid w:val="00A32EE0"/>
    <w:rsid w:val="00A51C4B"/>
    <w:rsid w:val="00A52353"/>
    <w:rsid w:val="00A5359B"/>
    <w:rsid w:val="00A56F60"/>
    <w:rsid w:val="00A61677"/>
    <w:rsid w:val="00A63E59"/>
    <w:rsid w:val="00A65963"/>
    <w:rsid w:val="00A71603"/>
    <w:rsid w:val="00A74BAF"/>
    <w:rsid w:val="00A8182D"/>
    <w:rsid w:val="00A87939"/>
    <w:rsid w:val="00A9246A"/>
    <w:rsid w:val="00AA3AE4"/>
    <w:rsid w:val="00AB3244"/>
    <w:rsid w:val="00AC186D"/>
    <w:rsid w:val="00AC46FB"/>
    <w:rsid w:val="00AC484E"/>
    <w:rsid w:val="00AD4E15"/>
    <w:rsid w:val="00AF2AAD"/>
    <w:rsid w:val="00B02BCD"/>
    <w:rsid w:val="00B049BE"/>
    <w:rsid w:val="00B31A0C"/>
    <w:rsid w:val="00B33D5E"/>
    <w:rsid w:val="00B56BE6"/>
    <w:rsid w:val="00B63E9A"/>
    <w:rsid w:val="00B66E0D"/>
    <w:rsid w:val="00B70B47"/>
    <w:rsid w:val="00B71F33"/>
    <w:rsid w:val="00B76E88"/>
    <w:rsid w:val="00B8266A"/>
    <w:rsid w:val="00B83BE5"/>
    <w:rsid w:val="00B86CB5"/>
    <w:rsid w:val="00B91D84"/>
    <w:rsid w:val="00BB31CE"/>
    <w:rsid w:val="00BB4A9E"/>
    <w:rsid w:val="00BB5578"/>
    <w:rsid w:val="00BC0E6D"/>
    <w:rsid w:val="00BC4F4F"/>
    <w:rsid w:val="00BC56C9"/>
    <w:rsid w:val="00BF19D4"/>
    <w:rsid w:val="00BF260F"/>
    <w:rsid w:val="00BF7478"/>
    <w:rsid w:val="00C02369"/>
    <w:rsid w:val="00C0289D"/>
    <w:rsid w:val="00C05FDB"/>
    <w:rsid w:val="00C13857"/>
    <w:rsid w:val="00C1389B"/>
    <w:rsid w:val="00C167ED"/>
    <w:rsid w:val="00C20C14"/>
    <w:rsid w:val="00C33D8D"/>
    <w:rsid w:val="00C519D9"/>
    <w:rsid w:val="00C62785"/>
    <w:rsid w:val="00C64A9A"/>
    <w:rsid w:val="00C6503E"/>
    <w:rsid w:val="00C77351"/>
    <w:rsid w:val="00C96D87"/>
    <w:rsid w:val="00CB3599"/>
    <w:rsid w:val="00CC55D7"/>
    <w:rsid w:val="00CD7DDB"/>
    <w:rsid w:val="00D026D6"/>
    <w:rsid w:val="00D043D2"/>
    <w:rsid w:val="00D105FE"/>
    <w:rsid w:val="00D12C54"/>
    <w:rsid w:val="00D22240"/>
    <w:rsid w:val="00D3672D"/>
    <w:rsid w:val="00D44762"/>
    <w:rsid w:val="00D60A62"/>
    <w:rsid w:val="00D611FD"/>
    <w:rsid w:val="00D63B42"/>
    <w:rsid w:val="00D64B51"/>
    <w:rsid w:val="00D72D87"/>
    <w:rsid w:val="00D84AC9"/>
    <w:rsid w:val="00D92BB5"/>
    <w:rsid w:val="00D95151"/>
    <w:rsid w:val="00D95D97"/>
    <w:rsid w:val="00D96320"/>
    <w:rsid w:val="00D979A9"/>
    <w:rsid w:val="00DB2759"/>
    <w:rsid w:val="00DB3577"/>
    <w:rsid w:val="00DB6C46"/>
    <w:rsid w:val="00DC13C4"/>
    <w:rsid w:val="00DC1548"/>
    <w:rsid w:val="00DC3748"/>
    <w:rsid w:val="00DD5969"/>
    <w:rsid w:val="00DD7632"/>
    <w:rsid w:val="00DF22FE"/>
    <w:rsid w:val="00DF53A7"/>
    <w:rsid w:val="00E03707"/>
    <w:rsid w:val="00E04118"/>
    <w:rsid w:val="00E22273"/>
    <w:rsid w:val="00E27B01"/>
    <w:rsid w:val="00E32CBA"/>
    <w:rsid w:val="00E66D21"/>
    <w:rsid w:val="00E70A08"/>
    <w:rsid w:val="00E812C3"/>
    <w:rsid w:val="00E87DA8"/>
    <w:rsid w:val="00E9358B"/>
    <w:rsid w:val="00EA2502"/>
    <w:rsid w:val="00EA29DB"/>
    <w:rsid w:val="00EA492D"/>
    <w:rsid w:val="00EB4BD7"/>
    <w:rsid w:val="00ED0E2E"/>
    <w:rsid w:val="00ED1820"/>
    <w:rsid w:val="00ED353A"/>
    <w:rsid w:val="00ED6A94"/>
    <w:rsid w:val="00EE151E"/>
    <w:rsid w:val="00EE258A"/>
    <w:rsid w:val="00EE78E2"/>
    <w:rsid w:val="00EF0472"/>
    <w:rsid w:val="00EF2286"/>
    <w:rsid w:val="00EF2B71"/>
    <w:rsid w:val="00F07626"/>
    <w:rsid w:val="00F079D0"/>
    <w:rsid w:val="00F07F10"/>
    <w:rsid w:val="00F13C36"/>
    <w:rsid w:val="00F15B87"/>
    <w:rsid w:val="00F30312"/>
    <w:rsid w:val="00F35F61"/>
    <w:rsid w:val="00F36CB5"/>
    <w:rsid w:val="00F42C59"/>
    <w:rsid w:val="00F42D1D"/>
    <w:rsid w:val="00F503C5"/>
    <w:rsid w:val="00F678DD"/>
    <w:rsid w:val="00F67F84"/>
    <w:rsid w:val="00F812D4"/>
    <w:rsid w:val="00F81990"/>
    <w:rsid w:val="00F8642D"/>
    <w:rsid w:val="00F87C2E"/>
    <w:rsid w:val="00F90F33"/>
    <w:rsid w:val="00F920C4"/>
    <w:rsid w:val="00F93FE3"/>
    <w:rsid w:val="00FA204F"/>
    <w:rsid w:val="00FB6D05"/>
    <w:rsid w:val="00FC1D63"/>
    <w:rsid w:val="00FC23D0"/>
    <w:rsid w:val="00FC397D"/>
    <w:rsid w:val="00FC6452"/>
    <w:rsid w:val="00FC6F17"/>
    <w:rsid w:val="00FE0452"/>
    <w:rsid w:val="00FE34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footer" w:uiPriority="99"/>
    <w:lsdException w:name="index heading" w:semiHidden="1"/>
    <w:lsdException w:name="caption" w:semiHidden="1" w:qFormat="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305CC"/>
    <w:pPr>
      <w:jc w:val="both"/>
    </w:pPr>
    <w:rPr>
      <w:rFonts w:ascii="Arial" w:hAnsi="Arial"/>
      <w:sz w:val="22"/>
      <w:lang w:eastAsia="en-US"/>
    </w:rPr>
  </w:style>
  <w:style w:type="paragraph" w:styleId="Heading1">
    <w:name w:val="heading 1"/>
    <w:basedOn w:val="Normal"/>
    <w:next w:val="BodyText"/>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semiHidden/>
    <w:qFormat/>
    <w:rsid w:val="00D63B42"/>
    <w:pPr>
      <w:outlineLvl w:val="3"/>
    </w:pPr>
    <w:rPr>
      <w:bCs w:val="0"/>
      <w:i w:val="0"/>
      <w:szCs w:val="28"/>
    </w:rPr>
  </w:style>
  <w:style w:type="paragraph" w:styleId="Heading5">
    <w:name w:val="heading 5"/>
    <w:basedOn w:val="Normal"/>
    <w:next w:val="Normal"/>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uiPriority w:val="99"/>
    <w:rsid w:val="00EE78E2"/>
    <w:pPr>
      <w:tabs>
        <w:tab w:val="center" w:pos="4153"/>
        <w:tab w:val="right" w:pos="8306"/>
      </w:tabs>
      <w:jc w:val="left"/>
    </w:pPr>
    <w:rPr>
      <w:sz w:val="18"/>
    </w:rPr>
  </w:style>
  <w:style w:type="paragraph" w:styleId="Header">
    <w:name w:val="header"/>
    <w:basedOn w:val="Normal"/>
    <w:semiHidden/>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basedOn w:val="Normal"/>
    <w:semiHidden/>
    <w:rsid w:val="00D63B42"/>
    <w:rPr>
      <w:rFonts w:ascii="Arial Mäori" w:hAnsi="Arial Mäori"/>
      <w:sz w:val="20"/>
    </w:rPr>
  </w:style>
  <w:style w:type="character" w:styleId="FootnoteReference">
    <w:name w:val="footnote reference"/>
    <w:basedOn w:val="DefaultParagraphFont"/>
    <w:semiHidden/>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character" w:customStyle="1" w:styleId="FooterChar">
    <w:name w:val="Footer Char"/>
    <w:basedOn w:val="DefaultParagraphFont"/>
    <w:link w:val="Footer"/>
    <w:uiPriority w:val="99"/>
    <w:rsid w:val="000A6DE3"/>
    <w:rPr>
      <w:rFonts w:ascii="Arial" w:hAnsi="Arial"/>
      <w:sz w:val="18"/>
      <w:lang w:eastAsia="en-US"/>
    </w:rPr>
  </w:style>
  <w:style w:type="character" w:styleId="CommentReference">
    <w:name w:val="annotation reference"/>
    <w:basedOn w:val="DefaultParagraphFont"/>
    <w:semiHidden/>
    <w:rsid w:val="00B71F33"/>
    <w:rPr>
      <w:sz w:val="16"/>
      <w:szCs w:val="16"/>
    </w:rPr>
  </w:style>
  <w:style w:type="paragraph" w:styleId="CommentText">
    <w:name w:val="annotation text"/>
    <w:basedOn w:val="Normal"/>
    <w:link w:val="CommentTextChar"/>
    <w:semiHidden/>
    <w:rsid w:val="00B71F33"/>
    <w:rPr>
      <w:sz w:val="20"/>
    </w:rPr>
  </w:style>
  <w:style w:type="character" w:customStyle="1" w:styleId="CommentTextChar">
    <w:name w:val="Comment Text Char"/>
    <w:basedOn w:val="DefaultParagraphFont"/>
    <w:link w:val="CommentText"/>
    <w:semiHidden/>
    <w:rsid w:val="00B71F33"/>
    <w:rPr>
      <w:rFonts w:ascii="Arial" w:hAnsi="Arial"/>
      <w:lang w:eastAsia="en-US"/>
    </w:rPr>
  </w:style>
  <w:style w:type="paragraph" w:styleId="CommentSubject">
    <w:name w:val="annotation subject"/>
    <w:basedOn w:val="CommentText"/>
    <w:next w:val="CommentText"/>
    <w:link w:val="CommentSubjectChar"/>
    <w:semiHidden/>
    <w:rsid w:val="00B71F33"/>
    <w:rPr>
      <w:b/>
      <w:bCs/>
    </w:rPr>
  </w:style>
  <w:style w:type="character" w:customStyle="1" w:styleId="CommentSubjectChar">
    <w:name w:val="Comment Subject Char"/>
    <w:basedOn w:val="CommentTextChar"/>
    <w:link w:val="CommentSubject"/>
    <w:semiHidden/>
    <w:rsid w:val="00B71F33"/>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footer" w:uiPriority="99"/>
    <w:lsdException w:name="index heading" w:semiHidden="1"/>
    <w:lsdException w:name="caption" w:semiHidden="1" w:qFormat="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305CC"/>
    <w:pPr>
      <w:jc w:val="both"/>
    </w:pPr>
    <w:rPr>
      <w:rFonts w:ascii="Arial" w:hAnsi="Arial"/>
      <w:sz w:val="22"/>
      <w:lang w:eastAsia="en-US"/>
    </w:rPr>
  </w:style>
  <w:style w:type="paragraph" w:styleId="Heading1">
    <w:name w:val="heading 1"/>
    <w:basedOn w:val="Normal"/>
    <w:next w:val="BodyText"/>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semiHidden/>
    <w:qFormat/>
    <w:rsid w:val="00D63B42"/>
    <w:pPr>
      <w:outlineLvl w:val="3"/>
    </w:pPr>
    <w:rPr>
      <w:bCs w:val="0"/>
      <w:i w:val="0"/>
      <w:szCs w:val="28"/>
    </w:rPr>
  </w:style>
  <w:style w:type="paragraph" w:styleId="Heading5">
    <w:name w:val="heading 5"/>
    <w:basedOn w:val="Normal"/>
    <w:next w:val="Normal"/>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uiPriority w:val="99"/>
    <w:rsid w:val="00EE78E2"/>
    <w:pPr>
      <w:tabs>
        <w:tab w:val="center" w:pos="4153"/>
        <w:tab w:val="right" w:pos="8306"/>
      </w:tabs>
      <w:jc w:val="left"/>
    </w:pPr>
    <w:rPr>
      <w:sz w:val="18"/>
    </w:rPr>
  </w:style>
  <w:style w:type="paragraph" w:styleId="Header">
    <w:name w:val="header"/>
    <w:basedOn w:val="Normal"/>
    <w:semiHidden/>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basedOn w:val="Normal"/>
    <w:semiHidden/>
    <w:rsid w:val="00D63B42"/>
    <w:rPr>
      <w:rFonts w:ascii="Arial Mäori" w:hAnsi="Arial Mäori"/>
      <w:sz w:val="20"/>
    </w:rPr>
  </w:style>
  <w:style w:type="character" w:styleId="FootnoteReference">
    <w:name w:val="footnote reference"/>
    <w:basedOn w:val="DefaultParagraphFont"/>
    <w:semiHidden/>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character" w:customStyle="1" w:styleId="FooterChar">
    <w:name w:val="Footer Char"/>
    <w:basedOn w:val="DefaultParagraphFont"/>
    <w:link w:val="Footer"/>
    <w:uiPriority w:val="99"/>
    <w:rsid w:val="000A6DE3"/>
    <w:rPr>
      <w:rFonts w:ascii="Arial" w:hAnsi="Arial"/>
      <w:sz w:val="18"/>
      <w:lang w:eastAsia="en-US"/>
    </w:rPr>
  </w:style>
  <w:style w:type="character" w:styleId="CommentReference">
    <w:name w:val="annotation reference"/>
    <w:basedOn w:val="DefaultParagraphFont"/>
    <w:semiHidden/>
    <w:rsid w:val="00B71F33"/>
    <w:rPr>
      <w:sz w:val="16"/>
      <w:szCs w:val="16"/>
    </w:rPr>
  </w:style>
  <w:style w:type="paragraph" w:styleId="CommentText">
    <w:name w:val="annotation text"/>
    <w:basedOn w:val="Normal"/>
    <w:link w:val="CommentTextChar"/>
    <w:semiHidden/>
    <w:rsid w:val="00B71F33"/>
    <w:rPr>
      <w:sz w:val="20"/>
    </w:rPr>
  </w:style>
  <w:style w:type="character" w:customStyle="1" w:styleId="CommentTextChar">
    <w:name w:val="Comment Text Char"/>
    <w:basedOn w:val="DefaultParagraphFont"/>
    <w:link w:val="CommentText"/>
    <w:semiHidden/>
    <w:rsid w:val="00B71F33"/>
    <w:rPr>
      <w:rFonts w:ascii="Arial" w:hAnsi="Arial"/>
      <w:lang w:eastAsia="en-US"/>
    </w:rPr>
  </w:style>
  <w:style w:type="paragraph" w:styleId="CommentSubject">
    <w:name w:val="annotation subject"/>
    <w:basedOn w:val="CommentText"/>
    <w:next w:val="CommentText"/>
    <w:link w:val="CommentSubjectChar"/>
    <w:semiHidden/>
    <w:rsid w:val="00B71F33"/>
    <w:rPr>
      <w:b/>
      <w:bCs/>
    </w:rPr>
  </w:style>
  <w:style w:type="character" w:customStyle="1" w:styleId="CommentSubjectChar">
    <w:name w:val="Comment Subject Char"/>
    <w:basedOn w:val="CommentTextChar"/>
    <w:link w:val="CommentSubject"/>
    <w:semiHidden/>
    <w:rsid w:val="00B71F3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023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1\Core%20Templates\Policy%20-%20Cabinet%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599F-70BE-4A22-A2A9-BDE53E78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 Cabinet Paper.dotm</Template>
  <TotalTime>0</TotalTime>
  <Pages>3</Pages>
  <Words>3591</Words>
  <Characters>20473</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Policy - Cabinet Paper</vt:lpstr>
    </vt:vector>
  </TitlesOfParts>
  <Company>Ministry of Social Development</Company>
  <LinksUpToDate>false</LinksUpToDate>
  <CharactersWithSpaces>24016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Cabinet Paper</dc:title>
  <dc:creator>Kristian Sobiecki</dc:creator>
  <dc:description>Developed by Allfields Customised Solutions - Visit us at http://www.allfields.co.nz</dc:description>
  <cp:lastModifiedBy>Roslyn Bullas</cp:lastModifiedBy>
  <cp:revision>2</cp:revision>
  <cp:lastPrinted>2015-03-30T18:38:00Z</cp:lastPrinted>
  <dcterms:created xsi:type="dcterms:W3CDTF">2016-11-08T00:40:00Z</dcterms:created>
  <dcterms:modified xsi:type="dcterms:W3CDTF">2016-11-08T00:40:00Z</dcterms:modified>
</cp:coreProperties>
</file>